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lastRenderedPageBreak/>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3640BB" w:rsidP="00B57B5B">
      <w:pPr>
        <w:pStyle w:val="ListNumber"/>
        <w:numPr>
          <w:ilvl w:val="2"/>
          <w:numId w:val="1"/>
        </w:numPr>
      </w:pPr>
      <w:r>
        <w:t>any and all claims arising under any state or local statute, rule, ordinance, regulation, or executive order, including, but not limited to: claims</w:t>
      </w:r>
      <w:r w:rsidRPr="004C1A19">
        <w:t xml:space="preserve"> under the Alabama Age Discrimination in</w:t>
      </w:r>
      <w:r>
        <w:t xml:space="preserve"> Employment</w:t>
      </w:r>
      <w:r w:rsidRPr="004C1A19">
        <w:t> Act (AADEA), retaliatory or constructive discharge and for co-employee liability</w:t>
      </w:r>
      <w:r>
        <w:t xml:space="preserve"> claims</w:t>
      </w:r>
      <w:r w:rsidRPr="004C1A19">
        <w:t>  under</w:t>
      </w:r>
      <w:r>
        <w:t xml:space="preserve"> Sections 25-5-11 and 25-5-11.1 of the Alabama Code, claims</w:t>
      </w:r>
      <w:r w:rsidRPr="004C1A19">
        <w:t xml:space="preserve"> under</w:t>
      </w:r>
      <w:r>
        <w:t xml:space="preserve"> Section 13A-11-90 of the Alabama Code, </w:t>
      </w:r>
      <w:r w:rsidRPr="004C1A19">
        <w:t>and any tort, contract, and quasi-contract or other common law</w:t>
      </w:r>
      <w:r>
        <w:t xml:space="preserve"> claims</w:t>
      </w:r>
      <w:r w:rsidRPr="004C1A19">
        <w:t>, including</w:t>
      </w:r>
      <w:r>
        <w:t xml:space="preserve"> claims</w:t>
      </w:r>
      <w:r w:rsidRPr="004C1A19">
        <w:t> for wrongful termination, retaliation, breach of implied or express contract, negligent or intentional infliction of emotional distress (outrage), negligent hiring, negligent supervision, negligence, wantonness, invasion of privacy, defamation, slander, libel, misrepresentation, civil conspiracy, assault, battery, intentional interference with business or contractual relations, and any and all other state or local laws that may apply to Employee, up to the date of the execution of this</w:t>
      </w:r>
      <w:r>
        <w:t xml:space="preserve"> Agreement</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1" w:name="a1001790"/>
      <w:r>
        <w:lastRenderedPageBreak/>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w:t>
      </w:r>
      <w:r w:rsidRPr="00B57B5B">
        <w:rPr>
          <w:u w:val="single"/>
        </w:rPr>
        <w:t>Claims</w:t>
      </w:r>
      <w:r>
        <w:rPr>
          <w:b/>
        </w:rPr>
        <w:t>.</w:t>
      </w:r>
      <w:bookmarkEnd w:id="2"/>
    </w:p>
    <w:p w:rsidR="00165039" w:rsidRDefault="00165039" w:rsidP="00165039">
      <w:pPr>
        <w:pStyle w:val="SFParasubclause2"/>
        <w:numPr>
          <w:ilvl w:val="2"/>
          <w:numId w:val="1"/>
        </w:numPr>
      </w:pPr>
      <w:r w:rsidRPr="00194710">
        <w:t xml:space="preserve">In further consideration of the payments and benefits provided to the Employee in this Agreement, the Releasors hereby irrevocably and unconditionally fully and forever waive, release, and discharge the Releasees from any and all Claims, whether known or unknown, from the beginning of time to the date of the Employee's execution of this Agreement arising </w:t>
      </w:r>
      <w:r w:rsidR="00194710" w:rsidRPr="00194710">
        <w:t>under the Age Discrimination in Employment Act (ADEA), as amended, and its implementing regulations</w:t>
      </w:r>
      <w:r>
        <w:t>. By signing this Agreement, the Employee hereby acknowledges and confirms that:</w:t>
      </w:r>
    </w:p>
    <w:p w:rsidR="00165039" w:rsidRDefault="00165039" w:rsidP="00165039">
      <w:pPr>
        <w:pStyle w:val="SFParasubclause2"/>
        <w:numPr>
          <w:ilvl w:val="3"/>
          <w:numId w:val="1"/>
        </w:numPr>
      </w:pPr>
      <w:r>
        <w:t>the Employee has read this Agreement in its entirety and understands all of its terms;</w:t>
      </w:r>
    </w:p>
    <w:p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CD02A6" w:rsidRDefault="005F6BCB" w:rsidP="00B57B5B">
      <w:pPr>
        <w:pStyle w:val="ListNumber"/>
        <w:numPr>
          <w:ilvl w:val="0"/>
          <w:numId w:val="1"/>
        </w:numPr>
      </w:pPr>
      <w:r>
        <w:rPr>
          <w:b/>
          <w:u w:val="single"/>
        </w:rPr>
        <w:lastRenderedPageBreak/>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4"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4"/>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9B7CF3" w:rsidRDefault="009B7CF3" w:rsidP="009B7CF3">
      <w:pPr>
        <w:pStyle w:val="ListParagraph"/>
      </w:pPr>
    </w:p>
    <w:p w:rsidR="009B7CF3" w:rsidRPr="009B7CF3" w:rsidRDefault="009B7CF3" w:rsidP="009B7CF3">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w:t>
      </w:r>
      <w:r>
        <w:lastRenderedPageBreak/>
        <w:t xml:space="preserve">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rsidR="001612DB" w:rsidRPr="00224F40" w:rsidRDefault="00AF7F55" w:rsidP="00AF7F55">
      <w:pPr>
        <w:pStyle w:val="ListNumber"/>
        <w:tabs>
          <w:tab w:val="left" w:pos="2391"/>
        </w:tabs>
      </w:pPr>
      <w:r>
        <w:tab/>
      </w:r>
    </w:p>
    <w:p w:rsidR="001612DB" w:rsidRDefault="00224F40" w:rsidP="00ED2156">
      <w:pPr>
        <w:spacing w:after="0"/>
        <w:ind w:left="3600"/>
      </w:pPr>
      <w:r w:rsidRPr="004F76BD">
        <w:rPr>
          <w:highlight w:val="lightGray"/>
        </w:rPr>
        <w:lastRenderedPageBreak/>
        <w:t>[Company Name]</w:t>
      </w:r>
    </w:p>
    <w:p w:rsidR="00224F40" w:rsidRDefault="00224F40" w:rsidP="00ED2156">
      <w:pPr>
        <w:spacing w:after="0"/>
        <w:ind w:left="3600"/>
      </w:pPr>
      <w:r>
        <w:t xml:space="preserve">Attn: </w:t>
      </w:r>
      <w:r w:rsidRPr="004F76BD">
        <w:rPr>
          <w:highlight w:val="lightGray"/>
        </w:rPr>
        <w:t>[Name or person/Title]</w:t>
      </w:r>
    </w:p>
    <w:p w:rsidR="00224F40" w:rsidRDefault="00224F40" w:rsidP="00ED2156">
      <w:pPr>
        <w:spacing w:after="0"/>
        <w:ind w:left="3600"/>
      </w:pPr>
      <w:r w:rsidRPr="004F76BD">
        <w:rPr>
          <w:highlight w:val="lightGray"/>
        </w:rPr>
        <w:t>[Address]</w:t>
      </w:r>
    </w:p>
    <w:p w:rsidR="00224F40" w:rsidRDefault="00224F40" w:rsidP="00ED2156">
      <w:pPr>
        <w:spacing w:after="0"/>
        <w:ind w:left="3600"/>
      </w:pPr>
      <w:r w:rsidRPr="004F76BD">
        <w:rPr>
          <w:highlight w:val="lightGray"/>
        </w:rPr>
        <w:t>[City, State, Zip]</w:t>
      </w:r>
    </w:p>
    <w:p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rsidR="00224F40" w:rsidRPr="00224F40" w:rsidRDefault="00224F40" w:rsidP="00B57B5B"/>
    <w:p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6"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9B7CF3">
          <w:rPr>
            <w:noProof/>
          </w:rPr>
          <w:t>3</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6"/>
    <w:rsid w:val="00025104"/>
    <w:rsid w:val="000256B9"/>
    <w:rsid w:val="000E3BE4"/>
    <w:rsid w:val="001612DB"/>
    <w:rsid w:val="00165039"/>
    <w:rsid w:val="00194710"/>
    <w:rsid w:val="001C3E30"/>
    <w:rsid w:val="00212BFE"/>
    <w:rsid w:val="00224F40"/>
    <w:rsid w:val="002A2B78"/>
    <w:rsid w:val="003058A1"/>
    <w:rsid w:val="003254C8"/>
    <w:rsid w:val="003640BB"/>
    <w:rsid w:val="00385765"/>
    <w:rsid w:val="003A2DB7"/>
    <w:rsid w:val="003D713B"/>
    <w:rsid w:val="00401BC7"/>
    <w:rsid w:val="00415FF0"/>
    <w:rsid w:val="004A620C"/>
    <w:rsid w:val="004F76BD"/>
    <w:rsid w:val="00546B85"/>
    <w:rsid w:val="005B17F7"/>
    <w:rsid w:val="005F6BCB"/>
    <w:rsid w:val="00682DF8"/>
    <w:rsid w:val="006A14B2"/>
    <w:rsid w:val="006A21F8"/>
    <w:rsid w:val="007005DF"/>
    <w:rsid w:val="007C775B"/>
    <w:rsid w:val="00805065"/>
    <w:rsid w:val="0082073E"/>
    <w:rsid w:val="008356EA"/>
    <w:rsid w:val="0085011E"/>
    <w:rsid w:val="00866CC9"/>
    <w:rsid w:val="00882D6F"/>
    <w:rsid w:val="009B7CF3"/>
    <w:rsid w:val="00A07E4C"/>
    <w:rsid w:val="00A72306"/>
    <w:rsid w:val="00A87BE7"/>
    <w:rsid w:val="00AD19FF"/>
    <w:rsid w:val="00AE6BA7"/>
    <w:rsid w:val="00AF7F55"/>
    <w:rsid w:val="00B57B5B"/>
    <w:rsid w:val="00BB1489"/>
    <w:rsid w:val="00BC067F"/>
    <w:rsid w:val="00BF1A17"/>
    <w:rsid w:val="00C93E80"/>
    <w:rsid w:val="00CD02A6"/>
    <w:rsid w:val="00D92013"/>
    <w:rsid w:val="00DC6B49"/>
    <w:rsid w:val="00E63307"/>
    <w:rsid w:val="00ED2156"/>
    <w:rsid w:val="00FA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0B4A182-5396-4FB9-9659-47EFDB89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649362402">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23FA-63A4-466C-BD3E-4A30E808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3242</Words>
  <Characters>18484</Characters>
  <Application>Microsoft Office Word</Application>
  <DocSecurity>0</DocSecurity>
  <PresentationFormat>
  </PresentationFormat>
  <Lines>154</Lines>
  <Paragraphs>43</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4</cp:revision>
  <dcterms:created xsi:type="dcterms:W3CDTF">2018-01-24T16:09:00Z</dcterms:created>
  <dcterms:modified xsi:type="dcterms:W3CDTF">2018-04-10T15:55:00Z</dcterms:modified>
</cp:coreProperties>
</file>