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B91943">
        <w:t>___</w:t>
      </w:r>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w:t>
      </w:r>
      <w:r w:rsidR="00834D0B">
        <w:t xml:space="preserve">or </w:t>
      </w:r>
      <w:r w:rsidR="00246342" w:rsidRPr="00835249">
        <w:t>solicit</w:t>
      </w:r>
      <w:bookmarkStart w:id="0" w:name="_GoBack"/>
      <w:bookmarkEnd w:id="0"/>
      <w:r w:rsidR="00246342" w:rsidRPr="00835249">
        <w:t xml:space="preserve">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8C0597">
        <w:t>separation of employment</w:t>
      </w:r>
      <w:r w:rsidR="008C0597"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910201">
        <w:t xml:space="preserve">e at will nature of Employee’s </w:t>
      </w:r>
      <w:r w:rsidRPr="00835249">
        <w:t xml:space="preserve">employment with </w:t>
      </w:r>
      <w:r w:rsidR="00835249" w:rsidRPr="00835249">
        <w:t>Employer</w:t>
      </w:r>
      <w:r w:rsidR="00910201">
        <w:t>, nor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910201">
        <w:t>Nevada</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3C7791"/>
    <w:rsid w:val="004A6B91"/>
    <w:rsid w:val="00541878"/>
    <w:rsid w:val="00543697"/>
    <w:rsid w:val="0054719D"/>
    <w:rsid w:val="00570904"/>
    <w:rsid w:val="005D7AED"/>
    <w:rsid w:val="00605976"/>
    <w:rsid w:val="00607DFF"/>
    <w:rsid w:val="00643541"/>
    <w:rsid w:val="00834D0B"/>
    <w:rsid w:val="00835249"/>
    <w:rsid w:val="00846C71"/>
    <w:rsid w:val="008C0597"/>
    <w:rsid w:val="008C741D"/>
    <w:rsid w:val="00910201"/>
    <w:rsid w:val="00927B1A"/>
    <w:rsid w:val="00A248EE"/>
    <w:rsid w:val="00A40FDA"/>
    <w:rsid w:val="00AA3F1D"/>
    <w:rsid w:val="00AB2B1F"/>
    <w:rsid w:val="00B716C1"/>
    <w:rsid w:val="00B91943"/>
    <w:rsid w:val="00C06977"/>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6</cp:revision>
  <cp:lastPrinted>2015-07-24T20:12:00Z</cp:lastPrinted>
  <dcterms:created xsi:type="dcterms:W3CDTF">2018-05-07T19:07:00Z</dcterms:created>
  <dcterms:modified xsi:type="dcterms:W3CDTF">2018-05-10T18:39:00Z</dcterms:modified>
</cp:coreProperties>
</file>