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F6A7" w14:textId="77777777" w:rsidR="003373E7" w:rsidRDefault="003373E7">
      <w:pPr>
        <w:spacing w:after="60"/>
      </w:pPr>
    </w:p>
    <w:p w14:paraId="2C245FC7" w14:textId="77777777" w:rsidR="003373E7" w:rsidRDefault="00000000">
      <w:pPr>
        <w:spacing w:after="80"/>
      </w:pPr>
      <w:r>
        <w:rPr>
          <w:b/>
          <w:bCs/>
          <w:caps/>
          <w:color w:val="2E75B6"/>
          <w:sz w:val="18"/>
          <w:szCs w:val="18"/>
        </w:rPr>
        <w:t xml:space="preserve">FACILITY </w:t>
      </w:r>
      <w:proofErr w:type="gramStart"/>
      <w:r>
        <w:rPr>
          <w:b/>
          <w:bCs/>
          <w:caps/>
          <w:color w:val="2E75B6"/>
          <w:sz w:val="18"/>
          <w:szCs w:val="18"/>
        </w:rPr>
        <w:t>MANAGEMENT  |</w:t>
      </w:r>
      <w:proofErr w:type="gramEnd"/>
      <w:r>
        <w:rPr>
          <w:b/>
          <w:bCs/>
          <w:caps/>
          <w:color w:val="2E75B6"/>
          <w:sz w:val="18"/>
          <w:szCs w:val="18"/>
        </w:rPr>
        <w:t xml:space="preserve">  </w:t>
      </w:r>
      <w:proofErr w:type="gramStart"/>
      <w:r>
        <w:rPr>
          <w:b/>
          <w:bCs/>
          <w:caps/>
          <w:color w:val="2E75B6"/>
          <w:sz w:val="18"/>
          <w:szCs w:val="18"/>
        </w:rPr>
        <w:t>AI  |</w:t>
      </w:r>
      <w:proofErr w:type="gramEnd"/>
      <w:r>
        <w:rPr>
          <w:b/>
          <w:bCs/>
          <w:caps/>
          <w:color w:val="2E75B6"/>
          <w:sz w:val="18"/>
          <w:szCs w:val="18"/>
        </w:rPr>
        <w:t xml:space="preserve">  DATA PRIVACY</w:t>
      </w:r>
    </w:p>
    <w:p w14:paraId="0A7B198E" w14:textId="77777777" w:rsidR="003373E7" w:rsidRDefault="00000000">
      <w:pPr>
        <w:spacing w:after="120"/>
      </w:pPr>
      <w:r>
        <w:rPr>
          <w:b/>
          <w:bCs/>
          <w:color w:val="1B3A5C"/>
          <w:sz w:val="40"/>
          <w:szCs w:val="40"/>
        </w:rPr>
        <w:t>Why PII Protection Has to Come First in Facility AI</w:t>
      </w:r>
    </w:p>
    <w:p w14:paraId="2F902245" w14:textId="77777777" w:rsidR="003373E7" w:rsidRDefault="00000000">
      <w:pPr>
        <w:spacing w:after="60"/>
      </w:pPr>
      <w:r>
        <w:rPr>
          <w:i/>
          <w:iCs/>
          <w:color w:val="2E75B6"/>
          <w:sz w:val="28"/>
          <w:szCs w:val="28"/>
        </w:rPr>
        <w:t>(And How to Build It In)</w:t>
      </w:r>
    </w:p>
    <w:p w14:paraId="477F880F" w14:textId="77777777" w:rsidR="003373E7" w:rsidRDefault="003373E7">
      <w:pPr>
        <w:pBdr>
          <w:bottom w:val="single" w:sz="6" w:space="1" w:color="2E75B6"/>
        </w:pBdr>
        <w:spacing w:before="120" w:after="120"/>
      </w:pPr>
    </w:p>
    <w:p w14:paraId="02937CDF" w14:textId="78DD33B2" w:rsidR="003373E7" w:rsidRDefault="00000000">
      <w:pPr>
        <w:spacing w:after="40"/>
      </w:pPr>
      <w:r>
        <w:rPr>
          <w:b/>
          <w:bCs/>
          <w:color w:val="1B3A5C"/>
        </w:rPr>
        <w:t xml:space="preserve">By </w:t>
      </w:r>
      <w:proofErr w:type="spellStart"/>
      <w:proofErr w:type="gramStart"/>
      <w:r w:rsidR="00524476">
        <w:rPr>
          <w:b/>
          <w:bCs/>
          <w:color w:val="1B3A5C"/>
        </w:rPr>
        <w:t>FacilityOS</w:t>
      </w:r>
      <w:proofErr w:type="spellEnd"/>
      <w:r>
        <w:rPr>
          <w:color w:val="999999"/>
        </w:rPr>
        <w:t xml:space="preserve">  |</w:t>
      </w:r>
      <w:proofErr w:type="gramEnd"/>
      <w:r>
        <w:rPr>
          <w:color w:val="999999"/>
        </w:rPr>
        <w:t xml:space="preserve">  </w:t>
      </w:r>
      <w:r>
        <w:rPr>
          <w:color w:val="555555"/>
        </w:rPr>
        <w:t xml:space="preserve">April 15, </w:t>
      </w:r>
      <w:proofErr w:type="gramStart"/>
      <w:r>
        <w:rPr>
          <w:color w:val="555555"/>
        </w:rPr>
        <w:t>2026</w:t>
      </w:r>
      <w:r>
        <w:rPr>
          <w:color w:val="999999"/>
        </w:rPr>
        <w:t xml:space="preserve">  |</w:t>
      </w:r>
      <w:proofErr w:type="gramEnd"/>
      <w:r>
        <w:rPr>
          <w:color w:val="999999"/>
        </w:rPr>
        <w:t xml:space="preserve">  </w:t>
      </w:r>
      <w:r>
        <w:rPr>
          <w:color w:val="555555"/>
        </w:rPr>
        <w:t>9 Minute Read</w:t>
      </w:r>
    </w:p>
    <w:p w14:paraId="6F2A2D2F" w14:textId="77777777" w:rsidR="003373E7" w:rsidRDefault="003373E7">
      <w:pPr>
        <w:spacing w:after="200"/>
      </w:pPr>
    </w:p>
    <w:p w14:paraId="40144A6E" w14:textId="77777777" w:rsidR="003373E7" w:rsidRDefault="00000000">
      <w:pPr>
        <w:pBdr>
          <w:top w:val="single" w:sz="1" w:space="4" w:color="2E75B6"/>
          <w:left w:val="single" w:sz="12" w:space="8" w:color="2E75B6"/>
          <w:bottom w:val="single" w:sz="1" w:space="4" w:color="2E75B6"/>
          <w:right w:val="single" w:sz="1" w:space="4" w:color="2E75B6"/>
        </w:pBdr>
        <w:shd w:val="clear" w:color="auto" w:fill="EAF1F8"/>
      </w:pPr>
      <w:r>
        <w:rPr>
          <w:b/>
          <w:bCs/>
          <w:color w:val="1B3A5C"/>
        </w:rPr>
        <w:t xml:space="preserve">Key Takeaway: </w:t>
      </w:r>
      <w:r>
        <w:t>The safest way to protect personal data in facility management AI is architectural, not instructional. When PII is excluded from the AI’s data layer by design, no prompt or instruction can expose it. Role-based access controls then determine who can query that data at all.</w:t>
      </w:r>
    </w:p>
    <w:p w14:paraId="65782D02" w14:textId="77777777" w:rsidR="003373E7" w:rsidRDefault="003373E7">
      <w:pPr>
        <w:spacing w:after="200"/>
      </w:pPr>
    </w:p>
    <w:p w14:paraId="4E6397C4" w14:textId="355D86C6" w:rsidR="003373E7" w:rsidRDefault="00000000">
      <w:pPr>
        <w:spacing w:after="160"/>
      </w:pPr>
      <w:r>
        <w:t xml:space="preserve">According to </w:t>
      </w:r>
      <w:hyperlink r:id="rId7" w:history="1">
        <w:r w:rsidRPr="00524476">
          <w:rPr>
            <w:rStyle w:val="Hyperlink"/>
          </w:rPr>
          <w:t>JLL’s Global Real Estate Technology Survey,</w:t>
        </w:r>
      </w:hyperlink>
      <w:r>
        <w:t xml:space="preserve"> 92% of organizations have now piloted AI tools in their facilities operations, up from 61% just a year earlier. Yet only 28% have embedded those tools into daily workflows. That gap is not primarily about cost or capability. </w:t>
      </w:r>
      <w:hyperlink r:id="rId8" w:history="1">
        <w:r w:rsidRPr="00524476">
          <w:rPr>
            <w:rStyle w:val="Hyperlink"/>
          </w:rPr>
          <w:t>IFMA survey data</w:t>
        </w:r>
      </w:hyperlink>
      <w:r>
        <w:t xml:space="preserve"> points to something more specific: 60% of facility management professionals cite data privacy and security as their top reason for hesitation.</w:t>
      </w:r>
    </w:p>
    <w:p w14:paraId="5DC22593" w14:textId="77777777" w:rsidR="003373E7" w:rsidRDefault="00000000">
      <w:pPr>
        <w:spacing w:after="160"/>
      </w:pPr>
      <w:r>
        <w:t>Facility management platforms sit at an unusual intersection: they capture data essential to running safe, efficient operations, and that same data often includes some of the most sensitive personal information in the enterprise. The question of how AI accesses that data, and what safeguards are architectural versus aspirational, is what separates a platform teams can trust from one they keep in pilot indefinitely.</w:t>
      </w:r>
    </w:p>
    <w:p w14:paraId="7C285D67" w14:textId="77777777" w:rsidR="003373E7" w:rsidRDefault="00000000">
      <w:pPr>
        <w:pStyle w:val="Heading1"/>
      </w:pPr>
      <w:r>
        <w:t>What Personal Data Does Facility Management Software Hold?</w:t>
      </w:r>
    </w:p>
    <w:p w14:paraId="339432ED" w14:textId="77777777" w:rsidR="003373E7" w:rsidRDefault="00000000">
      <w:pPr>
        <w:spacing w:after="160"/>
      </w:pPr>
      <w:r>
        <w:t xml:space="preserve">Most enterprise software handles data that is relatively </w:t>
      </w:r>
      <w:proofErr w:type="gramStart"/>
      <w:r>
        <w:t>low-sensitivity</w:t>
      </w:r>
      <w:proofErr w:type="gramEnd"/>
      <w:r>
        <w:t>. Task management tools hold project names and deadlines. Marketing platforms hold contact lists that are largely semi-public.</w:t>
      </w:r>
    </w:p>
    <w:p w14:paraId="57728756" w14:textId="77777777" w:rsidR="003373E7" w:rsidRDefault="00000000">
      <w:pPr>
        <w:spacing w:after="160"/>
      </w:pPr>
      <w:r>
        <w:t>Facility management platforms are different. A visitor management system may hold scanned government IDs, dates of birth, and a real-time record of who is physically inside a building at any given moment. A contractor management system holds certifications, license numbers, and personal identifiers tied to individuals. Emergency management systems hold employee rosters and contact details, sometimes including accessibility or medical information relevant to evacuation protocols.</w:t>
      </w:r>
    </w:p>
    <w:p w14:paraId="5FBED4E4" w14:textId="69961A97" w:rsidR="003373E7" w:rsidRDefault="00000000">
      <w:pPr>
        <w:spacing w:after="160"/>
      </w:pPr>
      <w:r>
        <w:t xml:space="preserve">The sensitivity goes further than most people initially assume. Under </w:t>
      </w:r>
      <w:hyperlink r:id="rId9" w:history="1">
        <w:r w:rsidRPr="00524476">
          <w:rPr>
            <w:rStyle w:val="Hyperlink"/>
          </w:rPr>
          <w:t>FERPA</w:t>
        </w:r>
      </w:hyperlink>
      <w:r>
        <w:t>, PII in campus environments extends beyond names to include indirect identifiers: behavioral patterns, biometric data from AI-powered systems, and records generated or interpreted by AI tools (such as attendance scores or simulation results). A visitor management or access control system deployed in a university setting may be handling FERPA-covered data without the facility team fully realizing it.</w:t>
      </w:r>
    </w:p>
    <w:p w14:paraId="36FA2930" w14:textId="77777777" w:rsidR="003373E7" w:rsidRDefault="00000000">
      <w:pPr>
        <w:spacing w:after="160"/>
      </w:pPr>
      <w:r>
        <w:t>When AI is added to these systems to power analytics, answer operational questions, or automate workflows, the scope of what the AI can access becomes a design question with real consequences.</w:t>
      </w:r>
    </w:p>
    <w:p w14:paraId="360AE1AB" w14:textId="77777777" w:rsidR="003373E7" w:rsidRDefault="00000000">
      <w:pPr>
        <w:pStyle w:val="Heading1"/>
      </w:pPr>
      <w:r>
        <w:lastRenderedPageBreak/>
        <w:t>Why Access to PII Is a Structural Risk, Not Just a Policy One</w:t>
      </w:r>
    </w:p>
    <w:p w14:paraId="5A801EAF" w14:textId="77777777" w:rsidR="003373E7" w:rsidRDefault="00000000">
      <w:pPr>
        <w:spacing w:after="160"/>
      </w:pPr>
      <w:r>
        <w:t>The intuitive response to PII concerns in AI is to add guardrails: instruct the AI not to return personal information, apply filters before surfacing results, or restrict certain fields from query outputs.</w:t>
      </w:r>
    </w:p>
    <w:p w14:paraId="0025F6F2" w14:textId="77777777" w:rsidR="003373E7" w:rsidRDefault="00000000">
      <w:pPr>
        <w:spacing w:after="160"/>
      </w:pPr>
      <w:r>
        <w:t>These are reasonable safeguards, but they share a common limitation. They rely on the AI behaving as intended given a particular instruction set. An AI assistant that has access to PII but is instructed not to reveal it is structurally weaker than one that cannot access PII at all.</w:t>
      </w:r>
    </w:p>
    <w:p w14:paraId="4B7F4D72" w14:textId="77777777" w:rsidR="003373E7" w:rsidRDefault="00000000">
      <w:pPr>
        <w:spacing w:after="160"/>
      </w:pPr>
      <w:r>
        <w:t xml:space="preserve">Here is a practical illustration. An admin asks an AI assistant: “Show me all contractors who visited Site B last month.” If PII exists in the AI’s </w:t>
      </w:r>
      <w:proofErr w:type="spellStart"/>
      <w:r>
        <w:t>queryable</w:t>
      </w:r>
      <w:proofErr w:type="spellEnd"/>
      <w:r>
        <w:t xml:space="preserve"> data layer, the response could return not just an aggregate count but a list of full names, dates of birth, and credential numbers. The admin may have only wanted a headcount for a compliance audit. The system returned far more, because it had access to far more than it needed.</w:t>
      </w:r>
    </w:p>
    <w:p w14:paraId="6DCAFCB5" w14:textId="77777777" w:rsidR="003373E7" w:rsidRDefault="00000000">
      <w:pPr>
        <w:spacing w:after="160"/>
      </w:pPr>
      <w:r>
        <w:t>This is a structural issue, not a failure of intent, and one that instruction-level controls alone are not well-positioned to fully address.</w:t>
      </w:r>
    </w:p>
    <w:p w14:paraId="1F4DA25E" w14:textId="1B4D014C" w:rsidR="003373E7" w:rsidRDefault="00000000">
      <w:pPr>
        <w:spacing w:after="160"/>
      </w:pPr>
      <w:r>
        <w:t xml:space="preserve">The regulatory dimension amplifies the stakes across verticals. Healthcare organizations operate under HIPAA. Higher education institutions are responsible under FERPA for ensuring AI vendors process student data only for designated educational purposes and cannot repurpose it for model training without explicit consent. Industrial and manufacturing environments are increasingly aligning with the NIST AI Risk Management Framework, and as of 2024, </w:t>
      </w:r>
      <w:hyperlink r:id="rId10" w:history="1">
        <w:r w:rsidRPr="00524476">
          <w:rPr>
            <w:rStyle w:val="Hyperlink"/>
          </w:rPr>
          <w:t>over 30 U.S. states have introduced AI-related legislation</w:t>
        </w:r>
      </w:hyperlink>
      <w:r>
        <w:t>, including California’s CCPA/CPRA requirements around automated decision-making technology.</w:t>
      </w:r>
    </w:p>
    <w:p w14:paraId="005AB84F" w14:textId="5FAC2C81" w:rsidR="003373E7" w:rsidRDefault="00000000">
      <w:pPr>
        <w:spacing w:after="160"/>
      </w:pPr>
      <w:r>
        <w:t xml:space="preserve">For organizations operating in the EU or handling EU citizen data, </w:t>
      </w:r>
      <w:hyperlink r:id="rId11" w:history="1">
        <w:r w:rsidRPr="00524476">
          <w:rPr>
            <w:rStyle w:val="Hyperlink"/>
          </w:rPr>
          <w:t>GDPR</w:t>
        </w:r>
      </w:hyperlink>
      <w:r>
        <w:t xml:space="preserve"> applies regardless of where processing occurs. It explicitly requires that data protection be built into system architecture from the outset, and individuals have the right to understand the logic behind automated decisions that significantly affect them, including AI-driven access control or monitoring.</w:t>
      </w:r>
    </w:p>
    <w:p w14:paraId="335D5F1B" w14:textId="77777777" w:rsidR="003373E7" w:rsidRDefault="00000000">
      <w:pPr>
        <w:spacing w:after="160"/>
      </w:pPr>
      <w:r>
        <w:t>Unauthorized PII exposure through an AI interface carries the same legal and reputational consequences as any other data breach. The mechanism does not change the liability.</w:t>
      </w:r>
    </w:p>
    <w:p w14:paraId="20164F53" w14:textId="77777777" w:rsidR="003373E7" w:rsidRDefault="00000000">
      <w:pPr>
        <w:pStyle w:val="Heading1"/>
      </w:pPr>
      <w:r>
        <w:t>How to Protect PII in Facility Management AI: Separate the Data Layer</w:t>
      </w:r>
    </w:p>
    <w:p w14:paraId="12EDF414" w14:textId="77777777" w:rsidR="003373E7" w:rsidRDefault="00000000">
      <w:pPr>
        <w:spacing w:after="160"/>
      </w:pPr>
      <w:r>
        <w:t>The approach that addresses the structural risk at its source is architectural: the AI queries a data layer where PII has already been removed, not one where it is present but filtered.</w:t>
      </w:r>
    </w:p>
    <w:p w14:paraId="075A5470" w14:textId="7A455C81" w:rsidR="003373E7" w:rsidRDefault="00000000" w:rsidP="00524476">
      <w:pPr>
        <w:spacing w:after="160"/>
      </w:pPr>
      <w:r>
        <w:t xml:space="preserve">This aligns with GDPR’s privacy by design principle, which holds that data protection should be built into system architecture from the ground up rather than applied after the fact. </w:t>
      </w:r>
    </w:p>
    <w:p w14:paraId="2F65EF28" w14:textId="77777777" w:rsidR="003373E7" w:rsidRDefault="00000000">
      <w:pPr>
        <w:spacing w:after="160"/>
      </w:pPr>
      <w:r>
        <w:t>In this model, the AI can still answer meaningful operational questions: visitor volume trends, contractor compliance rates, check-in patterns, drill completion metrics. The data it needs to surface those insights does not include personal identifiers. The analysis is useful precisely because it is aggregate and behavioral, not because it is tied to specific individuals.</w:t>
      </w:r>
    </w:p>
    <w:p w14:paraId="74949A49" w14:textId="77777777" w:rsidR="003373E7" w:rsidRDefault="00000000">
      <w:pPr>
        <w:spacing w:after="160"/>
      </w:pPr>
      <w:r>
        <w:t>The separation fundamentally changes the risk model. When PII is excluded by design from the AI’s data source, no instruction or prompt can produce personal information in the output. The protection is architectural rather than behavioral, which means it does not depend on any single guardrail holding.</w:t>
      </w:r>
    </w:p>
    <w:p w14:paraId="03EFCAAD" w14:textId="77777777" w:rsidR="003373E7" w:rsidRDefault="00000000">
      <w:pPr>
        <w:spacing w:after="160"/>
      </w:pPr>
      <w:r>
        <w:lastRenderedPageBreak/>
        <w:t xml:space="preserve">The next phase of this approach goes further: moving the AI’s data source to </w:t>
      </w:r>
      <w:proofErr w:type="gramStart"/>
      <w:r>
        <w:t>a completely separate</w:t>
      </w:r>
      <w:proofErr w:type="gramEnd"/>
      <w:r>
        <w:t xml:space="preserve"> database from the live transactional system. This creates an additional layer of isolation, so the AI’s analytical engine and the operational database where PII lives are not sharing infrastructure at all.</w:t>
      </w:r>
    </w:p>
    <w:p w14:paraId="213EEE65" w14:textId="77777777" w:rsidR="003373E7" w:rsidRDefault="00000000">
      <w:pPr>
        <w:pStyle w:val="Heading1"/>
      </w:pPr>
      <w:r>
        <w:t>Role-Based Access Control: The Second Layer of AI Data Privacy</w:t>
      </w:r>
    </w:p>
    <w:p w14:paraId="064C5E3B" w14:textId="77777777" w:rsidR="003373E7" w:rsidRDefault="00000000">
      <w:pPr>
        <w:spacing w:after="160"/>
      </w:pPr>
      <w:r>
        <w:t>Removing PII from the AI’s data layer addresses what the AI can see. Role-based access control addresses who can ask it questions.</w:t>
      </w:r>
    </w:p>
    <w:p w14:paraId="3AC7A020" w14:textId="77777777" w:rsidR="003373E7" w:rsidRDefault="00000000">
      <w:pPr>
        <w:spacing w:after="160"/>
      </w:pPr>
      <w:r>
        <w:t>Aggregate operational data, even when stripped of PII, still carries sensitivity. Visibility into facility traffic patterns, contractor activity, and emergency drill frequency is information that should be scoped to the people whose roles require it.</w:t>
      </w:r>
    </w:p>
    <w:p w14:paraId="1756C94A" w14:textId="77777777" w:rsidR="003373E7" w:rsidRDefault="00000000">
      <w:pPr>
        <w:spacing w:after="160"/>
      </w:pPr>
      <w:r>
        <w:t>A phased approach to AI access reflects how organizations already think about data governance in other systems. Payroll data is available to payroll administrators, not to every department manager. Database access in enterprise software is granted by role, not opened universally and then restricted after the fact. AI access in facility management follows the same principle.</w:t>
      </w:r>
    </w:p>
    <w:p w14:paraId="7774D14E" w14:textId="77777777" w:rsidR="003373E7" w:rsidRDefault="00000000">
      <w:pPr>
        <w:spacing w:after="160"/>
      </w:pPr>
      <w:r>
        <w:t>Starting with account administrators, who already carry the broadest data access and the clearest operational context, allows organizations to validate AI outputs before expanding access further. From there, role-based permissions can be extended to site administrators, security leads, EHS coordinators, or other roles as confidence in the system’s outputs develops.</w:t>
      </w:r>
    </w:p>
    <w:p w14:paraId="7C094DAA" w14:textId="77777777" w:rsidR="003373E7" w:rsidRDefault="00000000">
      <w:pPr>
        <w:spacing w:after="160"/>
      </w:pPr>
      <w:r>
        <w:t>Over time, the architecture evolves so that each role in the system can be individually configured for AI access: what the AI can tell them, what data it draws from, and what actions, if any, it can take on their behalf.</w:t>
      </w:r>
    </w:p>
    <w:p w14:paraId="0BF57C68" w14:textId="77777777" w:rsidR="003373E7" w:rsidRDefault="00000000">
      <w:pPr>
        <w:pStyle w:val="Heading1"/>
      </w:pPr>
      <w:r>
        <w:t>What to Ask AI Facility Management Vendors About Data Privacy</w:t>
      </w:r>
    </w:p>
    <w:p w14:paraId="63B248D1" w14:textId="77777777" w:rsidR="003373E7" w:rsidRDefault="00000000">
      <w:pPr>
        <w:spacing w:after="160"/>
      </w:pPr>
      <w:r>
        <w:t>For anyone working through a vendor evaluation or reviewing how AI features in a current system are built, a few questions can surface how thoroughly a vendor has thought through this problem.</w:t>
      </w:r>
    </w:p>
    <w:p w14:paraId="49A06C1E" w14:textId="77777777" w:rsidR="003373E7" w:rsidRDefault="00000000">
      <w:pPr>
        <w:spacing w:after="160"/>
      </w:pPr>
      <w:r>
        <w:t xml:space="preserve">The most useful starting point is understanding how PII exclusion </w:t>
      </w:r>
      <w:proofErr w:type="gramStart"/>
      <w:r>
        <w:t>actually works</w:t>
      </w:r>
      <w:proofErr w:type="gramEnd"/>
      <w:r>
        <w:t>. A vendor should be able to describe a specific data layer or view that the AI queries and confirm that personal identifiers are not present in that layer by design. Architectural separation is a stronger foundation than prompt-level filtering, and a clear answer here usually reflects how carefully the vendor has thought through the rest.</w:t>
      </w:r>
    </w:p>
    <w:p w14:paraId="2A608DD8" w14:textId="77777777" w:rsidR="003373E7" w:rsidRDefault="00000000">
      <w:pPr>
        <w:spacing w:after="160"/>
      </w:pPr>
      <w:r>
        <w:t>Role-based access controls for AI capabilities indicate that data governance has been considered at the feature level, not just the platform level. A phased rollout starting with administrators, where outputs can be validated before access expands, is a sign of deliberate design.</w:t>
      </w:r>
    </w:p>
    <w:p w14:paraId="722DD053" w14:textId="3A6971F3" w:rsidR="003373E7" w:rsidRDefault="00000000" w:rsidP="00524476">
      <w:pPr>
        <w:spacing w:after="160"/>
      </w:pPr>
      <w:r>
        <w:t>A vendor should also be able to define clearly what data the AI can query and provide a roadmap for how that architecture will evolve. Specificity here, rather than broad reassurances, is what gives teams the confidence to move from pilot to full deployment.</w:t>
      </w:r>
    </w:p>
    <w:p w14:paraId="629DF8A3" w14:textId="77777777" w:rsidR="003373E7" w:rsidRDefault="00000000">
      <w:pPr>
        <w:pStyle w:val="Heading1"/>
      </w:pPr>
      <w:r>
        <w:t>Frequently Asked Questions: AI and PII Protection in Facility Management</w:t>
      </w:r>
    </w:p>
    <w:p w14:paraId="6158620D" w14:textId="77777777" w:rsidR="003373E7" w:rsidRDefault="00000000">
      <w:pPr>
        <w:pStyle w:val="Heading2"/>
      </w:pPr>
      <w:r>
        <w:rPr>
          <w:sz w:val="24"/>
          <w:szCs w:val="24"/>
        </w:rPr>
        <w:t>What is PII in the context of facility management software?</w:t>
      </w:r>
    </w:p>
    <w:p w14:paraId="16B66896" w14:textId="77777777" w:rsidR="003373E7" w:rsidRDefault="00000000">
      <w:pPr>
        <w:spacing w:after="160"/>
      </w:pPr>
      <w:r>
        <w:lastRenderedPageBreak/>
        <w:t>PII in facility management extends beyond names and contact details. It includes government-issued IDs, dates of birth, biometric data, contractor credentials, and real-time location data for anyone in a building. Under FERPA, it also includes indirect identifiers like behavioral patterns or AI-generated records in campus environments.</w:t>
      </w:r>
    </w:p>
    <w:p w14:paraId="6ED7107D" w14:textId="77777777" w:rsidR="003373E7" w:rsidRDefault="00000000">
      <w:pPr>
        <w:pStyle w:val="Heading2"/>
      </w:pPr>
      <w:r>
        <w:rPr>
          <w:sz w:val="24"/>
          <w:szCs w:val="24"/>
        </w:rPr>
        <w:t>What is the difference between architectural PII exclusion and policy-based filtering?</w:t>
      </w:r>
    </w:p>
    <w:p w14:paraId="4BA08EFC" w14:textId="77777777" w:rsidR="003373E7" w:rsidRDefault="00000000">
      <w:pPr>
        <w:spacing w:after="160"/>
      </w:pPr>
      <w:r>
        <w:t>Policy-based filtering means the AI has access to PII but is instructed not to return it. Architectural exclusion means PII is removed from the data layer the AI queries entirely, so it cannot be surfaced regardless of how a query is structured. Architectural exclusion is the stronger approach because it does not rely on any single guardrail holding.</w:t>
      </w:r>
    </w:p>
    <w:p w14:paraId="43344424" w14:textId="77777777" w:rsidR="003373E7" w:rsidRDefault="00000000">
      <w:pPr>
        <w:pStyle w:val="Heading2"/>
      </w:pPr>
      <w:r>
        <w:rPr>
          <w:sz w:val="24"/>
          <w:szCs w:val="24"/>
        </w:rPr>
        <w:t>Does facility management AI need to comply with HIPAA and FERPA?</w:t>
      </w:r>
    </w:p>
    <w:p w14:paraId="47270187" w14:textId="77777777" w:rsidR="003373E7" w:rsidRDefault="00000000">
      <w:pPr>
        <w:spacing w:after="160"/>
      </w:pPr>
      <w:r>
        <w:t>It depends on the vertical. Healthcare environments are subject to HIPAA for any processing of protected health information. Higher education institutions must comply with FERPA, which covers AI-generated records and requires written agreements ensuring vendors use student data only for designated purposes. Industrial environments are increasingly aligning with the NIST AI Risk Management Framework. Organizations with EU operations or EU citizen data must also meet GDPR’s privacy by design requirements.</w:t>
      </w:r>
    </w:p>
    <w:p w14:paraId="3E7279D3" w14:textId="77777777" w:rsidR="003373E7" w:rsidRDefault="00000000">
      <w:pPr>
        <w:pStyle w:val="Heading1"/>
      </w:pPr>
      <w:r>
        <w:t xml:space="preserve">A Foundation, </w:t>
      </w:r>
      <w:proofErr w:type="gramStart"/>
      <w:r>
        <w:t>Not</w:t>
      </w:r>
      <w:proofErr w:type="gramEnd"/>
      <w:r>
        <w:t xml:space="preserve"> a Limitation</w:t>
      </w:r>
    </w:p>
    <w:p w14:paraId="48B86F11" w14:textId="77777777" w:rsidR="003373E7" w:rsidRDefault="00000000">
      <w:pPr>
        <w:spacing w:after="160"/>
      </w:pPr>
      <w:r>
        <w:t>That gap between piloting AI and operationalizing it is largely a trust gap, and the evidence points clearly to where trust needs to be built first: data privacy and security. Closing that gap is a design problem, and architecture is where the answer starts.</w:t>
      </w:r>
    </w:p>
    <w:p w14:paraId="6689A9BA" w14:textId="77777777" w:rsidR="003373E7" w:rsidRDefault="00000000">
      <w:pPr>
        <w:spacing w:after="160"/>
      </w:pPr>
      <w:r>
        <w:t>PII exclusion, role-based access controls, and phased rollouts are not conservative constraints on AI capability. They are the conditions under which AI adoption in sensitive operational environments can move from pilot to practice.</w:t>
      </w:r>
    </w:p>
    <w:p w14:paraId="436E6352" w14:textId="28A25088" w:rsidR="003373E7" w:rsidRDefault="00000000" w:rsidP="00524476">
      <w:pPr>
        <w:spacing w:after="160"/>
      </w:pPr>
      <w:r>
        <w:t>Facility teams work with real people moving through real spaces. The trust embedded in that work — from visitors consenting to check-in processes to contractors submitting personal credentials for compliance review — is worth protecting with the same seriousness as any other enterprise data. Platforms built with that principle at the architectural level are the ones positioned to close the gap.</w:t>
      </w:r>
    </w:p>
    <w:sectPr w:rsidR="003373E7">
      <w:headerReference w:type="default" r:id="rId12"/>
      <w:footerReference w:type="defaul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5432" w14:textId="77777777" w:rsidR="00FE6AF0" w:rsidRDefault="00FE6AF0">
      <w:r>
        <w:separator/>
      </w:r>
    </w:p>
  </w:endnote>
  <w:endnote w:type="continuationSeparator" w:id="0">
    <w:p w14:paraId="6B91742F" w14:textId="77777777" w:rsidR="00FE6AF0" w:rsidRDefault="00FE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8C62" w14:textId="77777777" w:rsidR="003373E7" w:rsidRDefault="00000000">
    <w:pPr>
      <w:pBdr>
        <w:top w:val="single" w:sz="4" w:space="4" w:color="2E75B6"/>
      </w:pBdr>
      <w:tabs>
        <w:tab w:val="right" w:pos="9026"/>
      </w:tabs>
    </w:pPr>
    <w:r>
      <w:rPr>
        <w:color w:val="999999"/>
        <w:sz w:val="16"/>
        <w:szCs w:val="16"/>
      </w:rPr>
      <w:t xml:space="preserve">© 2026 </w:t>
    </w:r>
    <w:proofErr w:type="spellStart"/>
    <w:proofErr w:type="gramStart"/>
    <w:r>
      <w:rPr>
        <w:color w:val="999999"/>
        <w:sz w:val="16"/>
        <w:szCs w:val="16"/>
      </w:rPr>
      <w:t>FacilityOS</w:t>
    </w:r>
    <w:proofErr w:type="spellEnd"/>
    <w:r>
      <w:rPr>
        <w:color w:val="999999"/>
        <w:sz w:val="16"/>
        <w:szCs w:val="16"/>
      </w:rPr>
      <w:t xml:space="preserve">  |</w:t>
    </w:r>
    <w:proofErr w:type="gramEnd"/>
    <w:r>
      <w:rPr>
        <w:color w:val="999999"/>
        <w:sz w:val="16"/>
        <w:szCs w:val="16"/>
      </w:rPr>
      <w:t xml:space="preserve">  www.facilityos.com</w:t>
    </w:r>
    <w:r>
      <w:rPr>
        <w:sz w:val="16"/>
        <w:szCs w:val="16"/>
      </w:rPr>
      <w:tab/>
    </w: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524476">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54D2" w14:textId="77777777" w:rsidR="00FE6AF0" w:rsidRDefault="00FE6AF0">
      <w:r>
        <w:separator/>
      </w:r>
    </w:p>
  </w:footnote>
  <w:footnote w:type="continuationSeparator" w:id="0">
    <w:p w14:paraId="2320E93C" w14:textId="77777777" w:rsidR="00FE6AF0" w:rsidRDefault="00FE6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E478" w14:textId="77777777" w:rsidR="003373E7" w:rsidRDefault="00000000">
    <w:pPr>
      <w:pBdr>
        <w:bottom w:val="single" w:sz="4" w:space="4" w:color="2E75B6"/>
      </w:pBdr>
      <w:tabs>
        <w:tab w:val="right" w:pos="9026"/>
      </w:tabs>
    </w:pPr>
    <w:proofErr w:type="spellStart"/>
    <w:r>
      <w:rPr>
        <w:b/>
        <w:bCs/>
        <w:color w:val="2E75B6"/>
        <w:sz w:val="18"/>
        <w:szCs w:val="18"/>
      </w:rPr>
      <w:t>FacilityOS</w:t>
    </w:r>
    <w:proofErr w:type="spellEnd"/>
    <w:r>
      <w:rPr>
        <w:i/>
        <w:iCs/>
        <w:color w:val="999999"/>
        <w:sz w:val="16"/>
        <w:szCs w:val="16"/>
      </w:rPr>
      <w:tab/>
      <w:t>Submitted for IFMA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37773"/>
    <w:multiLevelType w:val="hybridMultilevel"/>
    <w:tmpl w:val="7E26D8CE"/>
    <w:lvl w:ilvl="0" w:tplc="0EEAA9B8">
      <w:start w:val="1"/>
      <w:numFmt w:val="bullet"/>
      <w:lvlText w:val="●"/>
      <w:lvlJc w:val="left"/>
      <w:pPr>
        <w:ind w:left="720" w:hanging="360"/>
      </w:pPr>
    </w:lvl>
    <w:lvl w:ilvl="1" w:tplc="717CFD3A">
      <w:start w:val="1"/>
      <w:numFmt w:val="bullet"/>
      <w:lvlText w:val="○"/>
      <w:lvlJc w:val="left"/>
      <w:pPr>
        <w:ind w:left="1440" w:hanging="360"/>
      </w:pPr>
    </w:lvl>
    <w:lvl w:ilvl="2" w:tplc="509CC570">
      <w:start w:val="1"/>
      <w:numFmt w:val="bullet"/>
      <w:lvlText w:val="■"/>
      <w:lvlJc w:val="left"/>
      <w:pPr>
        <w:ind w:left="2160" w:hanging="360"/>
      </w:pPr>
    </w:lvl>
    <w:lvl w:ilvl="3" w:tplc="FDDEDEDE">
      <w:start w:val="1"/>
      <w:numFmt w:val="bullet"/>
      <w:lvlText w:val="●"/>
      <w:lvlJc w:val="left"/>
      <w:pPr>
        <w:ind w:left="2880" w:hanging="360"/>
      </w:pPr>
    </w:lvl>
    <w:lvl w:ilvl="4" w:tplc="7C5C727C">
      <w:start w:val="1"/>
      <w:numFmt w:val="bullet"/>
      <w:lvlText w:val="○"/>
      <w:lvlJc w:val="left"/>
      <w:pPr>
        <w:ind w:left="3600" w:hanging="360"/>
      </w:pPr>
    </w:lvl>
    <w:lvl w:ilvl="5" w:tplc="5D7E0C10">
      <w:start w:val="1"/>
      <w:numFmt w:val="bullet"/>
      <w:lvlText w:val="■"/>
      <w:lvlJc w:val="left"/>
      <w:pPr>
        <w:ind w:left="4320" w:hanging="360"/>
      </w:pPr>
    </w:lvl>
    <w:lvl w:ilvl="6" w:tplc="42D2FEBC">
      <w:start w:val="1"/>
      <w:numFmt w:val="bullet"/>
      <w:lvlText w:val="●"/>
      <w:lvlJc w:val="left"/>
      <w:pPr>
        <w:ind w:left="5040" w:hanging="360"/>
      </w:pPr>
    </w:lvl>
    <w:lvl w:ilvl="7" w:tplc="3E2C90F2">
      <w:start w:val="1"/>
      <w:numFmt w:val="bullet"/>
      <w:lvlText w:val="●"/>
      <w:lvlJc w:val="left"/>
      <w:pPr>
        <w:ind w:left="5760" w:hanging="360"/>
      </w:pPr>
    </w:lvl>
    <w:lvl w:ilvl="8" w:tplc="1B887BA6">
      <w:start w:val="1"/>
      <w:numFmt w:val="bullet"/>
      <w:lvlText w:val="●"/>
      <w:lvlJc w:val="left"/>
      <w:pPr>
        <w:ind w:left="6480" w:hanging="360"/>
      </w:pPr>
    </w:lvl>
  </w:abstractNum>
  <w:abstractNum w:abstractNumId="1" w15:restartNumberingAfterBreak="0">
    <w:nsid w:val="7E1C5702"/>
    <w:multiLevelType w:val="hybridMultilevel"/>
    <w:tmpl w:val="8530124A"/>
    <w:lvl w:ilvl="0" w:tplc="112AD07C">
      <w:start w:val="1"/>
      <w:numFmt w:val="bullet"/>
      <w:lvlText w:val="•"/>
      <w:lvlJc w:val="left"/>
      <w:pPr>
        <w:ind w:left="720" w:hanging="360"/>
      </w:pPr>
    </w:lvl>
    <w:lvl w:ilvl="1" w:tplc="9CF86152">
      <w:numFmt w:val="decimal"/>
      <w:lvlText w:val=""/>
      <w:lvlJc w:val="left"/>
    </w:lvl>
    <w:lvl w:ilvl="2" w:tplc="DE70079C">
      <w:numFmt w:val="decimal"/>
      <w:lvlText w:val=""/>
      <w:lvlJc w:val="left"/>
    </w:lvl>
    <w:lvl w:ilvl="3" w:tplc="6BE0C976">
      <w:numFmt w:val="decimal"/>
      <w:lvlText w:val=""/>
      <w:lvlJc w:val="left"/>
    </w:lvl>
    <w:lvl w:ilvl="4" w:tplc="5DD4E0D8">
      <w:numFmt w:val="decimal"/>
      <w:lvlText w:val=""/>
      <w:lvlJc w:val="left"/>
    </w:lvl>
    <w:lvl w:ilvl="5" w:tplc="3DEA9E60">
      <w:numFmt w:val="decimal"/>
      <w:lvlText w:val=""/>
      <w:lvlJc w:val="left"/>
    </w:lvl>
    <w:lvl w:ilvl="6" w:tplc="595EECD2">
      <w:numFmt w:val="decimal"/>
      <w:lvlText w:val=""/>
      <w:lvlJc w:val="left"/>
    </w:lvl>
    <w:lvl w:ilvl="7" w:tplc="DF263286">
      <w:numFmt w:val="decimal"/>
      <w:lvlText w:val=""/>
      <w:lvlJc w:val="left"/>
    </w:lvl>
    <w:lvl w:ilvl="8" w:tplc="CB3690A6">
      <w:numFmt w:val="decimal"/>
      <w:lvlText w:val=""/>
      <w:lvlJc w:val="left"/>
    </w:lvl>
  </w:abstractNum>
  <w:num w:numId="1" w16cid:durableId="12757468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3E7"/>
    <w:rsid w:val="003373E7"/>
    <w:rsid w:val="00524476"/>
    <w:rsid w:val="00EF530C"/>
    <w:rsid w:val="00FE6A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2EC7F7C"/>
  <w15:docId w15:val="{E160DD71-681E-DE4E-8AAF-78C7353A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33333"/>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B3A5C"/>
      <w:sz w:val="30"/>
      <w:szCs w:val="30"/>
    </w:rPr>
  </w:style>
  <w:style w:type="paragraph" w:styleId="Heading2">
    <w:name w:val="heading 2"/>
    <w:uiPriority w:val="9"/>
    <w:unhideWhenUsed/>
    <w:qFormat/>
    <w:pPr>
      <w:spacing w:before="280" w:after="120"/>
      <w:outlineLvl w:val="1"/>
    </w:pPr>
    <w:rPr>
      <w:b/>
      <w:bCs/>
      <w:color w:val="2E75B6"/>
      <w:sz w:val="26"/>
      <w:szCs w:val="26"/>
    </w:rPr>
  </w:style>
  <w:style w:type="paragraph" w:styleId="Heading3">
    <w:name w:val="heading 3"/>
    <w:uiPriority w:val="9"/>
    <w:semiHidden/>
    <w:unhideWhenUsed/>
    <w:qFormat/>
    <w:pPr>
      <w:spacing w:before="200" w:after="100"/>
      <w:outlineLvl w:val="2"/>
    </w:pPr>
    <w:rPr>
      <w:b/>
      <w:bCs/>
      <w:color w:val="1B3A5C"/>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2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IFMA%20survey%20da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ll.com/en-us/insights/global-state-of-facilities-management-repor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dpr-info.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oma.org/wp-content/uploads/2024/09/BOMA-Policy-Brief-Artificial-Intelligence.pdf" TargetMode="External"/><Relationship Id="rId4" Type="http://schemas.openxmlformats.org/officeDocument/2006/relationships/webSettings" Target="webSettings.xml"/><Relationship Id="rId9" Type="http://schemas.openxmlformats.org/officeDocument/2006/relationships/hyperlink" Target="https://studentprivacy.ed.gov/node/54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1810</Words>
  <Characters>9995</Characters>
  <Application>Microsoft Office Word</Application>
  <DocSecurity>0</DocSecurity>
  <Lines>144</Lines>
  <Paragraphs>62</Paragraphs>
  <ScaleCrop>false</ScaleCrop>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Katherine Lawless</cp:lastModifiedBy>
  <cp:revision>2</cp:revision>
  <dcterms:created xsi:type="dcterms:W3CDTF">2026-05-06T16:16:00Z</dcterms:created>
  <dcterms:modified xsi:type="dcterms:W3CDTF">2026-05-06T16:23:00Z</dcterms:modified>
</cp:coreProperties>
</file>