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9DE94" w14:textId="5C05E223" w:rsidR="007A1824" w:rsidRDefault="00B1111B">
      <w:pPr>
        <w:spacing w:after="240" w:line="259" w:lineRule="auto"/>
        <w:jc w:val="center"/>
      </w:pPr>
      <w:r>
        <w:rPr>
          <w:rFonts w:eastAsia="宋体" w:hint="eastAsia"/>
          <w:b/>
          <w:sz w:val="32"/>
          <w:lang w:eastAsia="zh-CN"/>
        </w:rPr>
        <w:t>A Note</w:t>
      </w:r>
      <w:r w:rsidR="00136076">
        <w:rPr>
          <w:rFonts w:eastAsia="宋体" w:hint="eastAsia"/>
          <w:b/>
          <w:sz w:val="32"/>
          <w:lang w:eastAsia="zh-CN"/>
        </w:rPr>
        <w:t xml:space="preserve"> on</w:t>
      </w:r>
      <w:r>
        <w:rPr>
          <w:rFonts w:eastAsia="宋体" w:hint="eastAsia"/>
          <w:b/>
          <w:sz w:val="32"/>
          <w:lang w:eastAsia="zh-CN"/>
        </w:rPr>
        <w:t xml:space="preserve"> FM</w:t>
      </w:r>
      <w:r>
        <w:rPr>
          <w:b/>
          <w:sz w:val="32"/>
        </w:rPr>
        <w:t xml:space="preserve"> Project Data Authorization and Use Control</w:t>
      </w:r>
    </w:p>
    <w:p w14:paraId="5D7CAD87" w14:textId="77777777" w:rsidR="007A1824" w:rsidRDefault="00000000">
      <w:pPr>
        <w:spacing w:before="160" w:after="100"/>
      </w:pPr>
      <w:r>
        <w:rPr>
          <w:b/>
          <w:sz w:val="24"/>
        </w:rPr>
        <w:t>1. Abstract</w:t>
      </w:r>
    </w:p>
    <w:p w14:paraId="131A051D" w14:textId="77777777" w:rsidR="007A1824" w:rsidRDefault="00000000">
      <w:pPr>
        <w:spacing w:after="120" w:line="259" w:lineRule="auto"/>
      </w:pPr>
      <w:r>
        <w:t>This note reviews whether project asset, space, system, drawing, equipment and site-condition data may be used in FM mobilization, takeover inspection, vacancy-period operation planning and formal submissions. It is a risk-control note for management review, not a legal opinion. The contract requires the FM service provider to obtain records, inspect assets, report defects, identify missing certificates, compare conditions with the asset register, keep records and support auditability. These duties imply a need to receive and review client data. However, the reviewed wording does not define authorization for using unofficial working data, historical data, personally obtained data, or data disclosed by contractors and vendors in formal plans or reports. The gap is material because personnel may move from construction to FM with data in hand, or may obtain historical information through informal relationships. Such data may be useful, but authorization and disclosure must be controlled.</w:t>
      </w:r>
    </w:p>
    <w:p w14:paraId="6842E0AE" w14:textId="77777777" w:rsidR="007A1824" w:rsidRDefault="00000000">
      <w:pPr>
        <w:spacing w:before="160" w:after="100"/>
      </w:pPr>
      <w:r>
        <w:rPr>
          <w:b/>
          <w:sz w:val="24"/>
        </w:rPr>
        <w:t>2. Purpose and Scope</w:t>
      </w:r>
    </w:p>
    <w:p w14:paraId="68B2676C" w14:textId="77777777" w:rsidR="007A1824" w:rsidRDefault="00000000">
      <w:pPr>
        <w:spacing w:after="120" w:line="259" w:lineRule="auto"/>
      </w:pPr>
      <w:r>
        <w:t>This note is prepared to support management and legal review of project data authorization and use control during FM mobilization, takeover inspection, vacancy-period operation planning and related technical submissions. It focuses on whether the FM service provider may use project asset data, space data, system data, drawings, equipment lists, testing records, certificates, historical records and site-condition information when preparing action plans, implementation plans, registers, reports and evidence packages.</w:t>
      </w:r>
    </w:p>
    <w:p w14:paraId="1F368FE0" w14:textId="77777777" w:rsidR="007A1824" w:rsidRDefault="00000000">
      <w:pPr>
        <w:spacing w:after="120" w:line="259" w:lineRule="auto"/>
      </w:pPr>
      <w:r>
        <w:t>The note does not assess the technical correctness of any particular asset list, system record, room number, drawing or equipment quantity. It addresses the authorization, source control, traceability and submission risks that may arise when such data is used before it has been formally issued, confirmed or authorized by the client. It should be read as an internal risk prompt and control proposal. It does not replace legal advice, contract interpretation by counsel, client instructions, statutory requirements, approved project procedures or document-control protocols.</w:t>
      </w:r>
    </w:p>
    <w:p w14:paraId="0B3A3E99" w14:textId="77777777" w:rsidR="007A1824" w:rsidRDefault="00000000">
      <w:pPr>
        <w:spacing w:before="160" w:after="100"/>
      </w:pPr>
      <w:r>
        <w:rPr>
          <w:b/>
          <w:sz w:val="24"/>
        </w:rPr>
        <w:t>3. Background</w:t>
      </w:r>
    </w:p>
    <w:p w14:paraId="54802C3A" w14:textId="3E8AE2DD" w:rsidR="007A1824" w:rsidRDefault="00000000">
      <w:pPr>
        <w:spacing w:after="120" w:line="259" w:lineRule="auto"/>
      </w:pPr>
      <w:r>
        <w:t>In practice,</w:t>
      </w:r>
      <w:r w:rsidR="008E36ED">
        <w:rPr>
          <w:rFonts w:eastAsia="宋体" w:hint="eastAsia"/>
          <w:lang w:eastAsia="zh-CN"/>
        </w:rPr>
        <w:t xml:space="preserve"> </w:t>
      </w:r>
      <w:r>
        <w:t>FM preparation often starts before all formal handover documents are complete. To prepare a takeover inspection action plan, a vacancy-period operation plan or an initial asset preservation strategy, the FM team may need to understand the building layout, system boundaries, key equipment, maintainability constraints, document gaps, certificates, warranties, testing status, defect status and future operating assumptions.</w:t>
      </w:r>
    </w:p>
    <w:p w14:paraId="542D9332" w14:textId="77777777" w:rsidR="007A1824" w:rsidRDefault="00000000">
      <w:pPr>
        <w:spacing w:after="120" w:line="259" w:lineRule="auto"/>
      </w:pPr>
      <w:r>
        <w:t>The information used for these activities may come from several channels. Some information may be formally issued by the client. Some may be obtained through internal coordination, site visits, preliminary review, shared working folders, emails, conversations, or documents provided by contractors, consultants, vendors and system integrators. In some cases, personnel who previously supported construction, testing or commissioning may join the FM service provider or support the FM team. They may carry historical data, draft registers, marked-up drawings, snag lists, inspection records or system knowledge into the FM stage. Other personnel may obtain historical information through personal relationships with project participants.</w:t>
      </w:r>
    </w:p>
    <w:p w14:paraId="7374D51B" w14:textId="77777777" w:rsidR="007A1824" w:rsidRDefault="00000000">
      <w:pPr>
        <w:spacing w:after="120" w:line="259" w:lineRule="auto"/>
      </w:pPr>
      <w:r>
        <w:t>Such information can be practically useful, but usefulness does not equal authorization. If the FM service provider relies on unofficial data in formal submissions, the client or other parties may later question the source, accuracy, confidentiality status, disclosure right or legal basis for using that data. The risk is higher when the document is submitted externally and appears to confirm specific assets, equipment quantities, locations, system status, defects, costs, operating obligations or handover responsibilities.</w:t>
      </w:r>
    </w:p>
    <w:p w14:paraId="642054E2" w14:textId="77777777" w:rsidR="007A1824" w:rsidRDefault="00000000">
      <w:pPr>
        <w:spacing w:before="160" w:after="100"/>
      </w:pPr>
      <w:r>
        <w:rPr>
          <w:b/>
          <w:sz w:val="24"/>
        </w:rPr>
        <w:t>4. Contract Data References and Observed Gap</w:t>
      </w:r>
    </w:p>
    <w:p w14:paraId="4765477B" w14:textId="77777777" w:rsidR="007A1824" w:rsidRDefault="00000000">
      <w:pPr>
        <w:spacing w:after="120" w:line="259" w:lineRule="auto"/>
      </w:pPr>
      <w:r>
        <w:t>The reviewed contract wording appears to support the operational need for the FM service provider to receive and review information required for mobilization, takeover inspection and service readiness. For example, a transitional mobilization provision may require the service provider to mobilize services in accordance with an agreed mobilization plan. This implies a need for planning information, access information, baseline assumptions and coordination records, but it does not by itself define a full data-use authorization framework.</w:t>
      </w:r>
    </w:p>
    <w:p w14:paraId="13740A4F" w14:textId="77777777" w:rsidR="007A1824" w:rsidRDefault="00000000">
      <w:pPr>
        <w:spacing w:after="120" w:line="259" w:lineRule="auto"/>
      </w:pPr>
      <w:r>
        <w:lastRenderedPageBreak/>
        <w:t>A pre-service information provision may require the service provider to equip itself with available manuals, operational records, maintenance logs, security and safety protocols, emergency procedures, hazard registers, access controls, asset condition reports, warranties and outstanding maintenance obligations. This provides a strong basis for requesting official handover information. However, the wording is generally about obtaining and reviewing available information. It may not clearly state that unofficial working data, historical data or third-party provided data may be used in formal submissions without client confirmation.</w:t>
      </w:r>
    </w:p>
    <w:p w14:paraId="65BC3D42" w14:textId="77777777" w:rsidR="007A1824" w:rsidRDefault="00000000">
      <w:pPr>
        <w:spacing w:after="120" w:line="259" w:lineRule="auto"/>
      </w:pPr>
      <w:r>
        <w:t>An asset inspection provision may require the service provider to inspect assets, confirm operational status and provide defect reports or costed remedial proposals. This clearly implies the need to use asset and system information for inspection. A missing-certificate provision may require notification and further testing where required certificates are unavailable. An asset-register discrepancy provision may require reporting where actual conditions are inconsistent with the official register. These obligations depend on data, but they do not necessarily authorize reliance on unverified registers, draft lists or informal records as formal project data.</w:t>
      </w:r>
    </w:p>
    <w:p w14:paraId="0186EE8A" w14:textId="77777777" w:rsidR="007A1824" w:rsidRDefault="00000000">
      <w:pPr>
        <w:spacing w:after="120" w:line="259" w:lineRule="auto"/>
      </w:pPr>
      <w:r>
        <w:t>The following examples are simplified descriptions of contract data themes reviewed for this note. They are not quoted as legal interpretations and should be verified against the signed contract text.</w:t>
      </w:r>
    </w:p>
    <w:tbl>
      <w:tblPr>
        <w:tblStyle w:val="aff1"/>
        <w:tblW w:w="0" w:type="auto"/>
        <w:jc w:val="center"/>
        <w:tblLook w:val="04A0" w:firstRow="1" w:lastRow="0" w:firstColumn="1" w:lastColumn="0" w:noHBand="0" w:noVBand="1"/>
      </w:tblPr>
      <w:tblGrid>
        <w:gridCol w:w="1747"/>
        <w:gridCol w:w="4380"/>
        <w:gridCol w:w="3775"/>
      </w:tblGrid>
      <w:tr w:rsidR="007A1824" w14:paraId="2D64B985" w14:textId="77777777" w:rsidTr="009463CE">
        <w:trPr>
          <w:jc w:val="center"/>
        </w:trPr>
        <w:tc>
          <w:tcPr>
            <w:tcW w:w="1747" w:type="dxa"/>
            <w:shd w:val="clear" w:color="auto" w:fill="D9EAF7"/>
          </w:tcPr>
          <w:p w14:paraId="3079C447" w14:textId="77777777" w:rsidR="007A1824" w:rsidRDefault="00000000" w:rsidP="009463CE">
            <w:pPr>
              <w:jc w:val="center"/>
            </w:pPr>
            <w:r>
              <w:rPr>
                <w:b/>
                <w:sz w:val="20"/>
              </w:rPr>
              <w:t>Contract Data Theme</w:t>
            </w:r>
          </w:p>
        </w:tc>
        <w:tc>
          <w:tcPr>
            <w:tcW w:w="4380" w:type="dxa"/>
            <w:shd w:val="clear" w:color="auto" w:fill="D9EAF7"/>
          </w:tcPr>
          <w:p w14:paraId="4A6BAEB6" w14:textId="77777777" w:rsidR="007A1824" w:rsidRDefault="00000000" w:rsidP="009463CE">
            <w:pPr>
              <w:jc w:val="center"/>
            </w:pPr>
            <w:r>
              <w:rPr>
                <w:b/>
                <w:sz w:val="20"/>
              </w:rPr>
              <w:t>Example Description</w:t>
            </w:r>
          </w:p>
        </w:tc>
        <w:tc>
          <w:tcPr>
            <w:tcW w:w="3775" w:type="dxa"/>
            <w:shd w:val="clear" w:color="auto" w:fill="D9EAF7"/>
          </w:tcPr>
          <w:p w14:paraId="201A5612" w14:textId="77777777" w:rsidR="007A1824" w:rsidRDefault="00000000" w:rsidP="009463CE">
            <w:pPr>
              <w:jc w:val="center"/>
            </w:pPr>
            <w:r>
              <w:rPr>
                <w:b/>
                <w:sz w:val="20"/>
              </w:rPr>
              <w:t>Observed Limitation</w:t>
            </w:r>
          </w:p>
        </w:tc>
      </w:tr>
      <w:tr w:rsidR="007A1824" w14:paraId="7E4D44DD" w14:textId="77777777" w:rsidTr="009463CE">
        <w:trPr>
          <w:jc w:val="center"/>
        </w:trPr>
        <w:tc>
          <w:tcPr>
            <w:tcW w:w="1747" w:type="dxa"/>
          </w:tcPr>
          <w:p w14:paraId="0C2DFA03" w14:textId="77777777" w:rsidR="007A1824" w:rsidRDefault="00000000">
            <w:r>
              <w:rPr>
                <w:sz w:val="20"/>
              </w:rPr>
              <w:t>Mobilization information</w:t>
            </w:r>
          </w:p>
        </w:tc>
        <w:tc>
          <w:tcPr>
            <w:tcW w:w="4380" w:type="dxa"/>
          </w:tcPr>
          <w:p w14:paraId="5ADCFEA2" w14:textId="77777777" w:rsidR="007A1824" w:rsidRDefault="00000000">
            <w:r>
              <w:rPr>
                <w:sz w:val="20"/>
              </w:rPr>
              <w:t>The provider may need plans, access data and baseline records to prepare service mobilization and transition activities.</w:t>
            </w:r>
          </w:p>
        </w:tc>
        <w:tc>
          <w:tcPr>
            <w:tcW w:w="3775" w:type="dxa"/>
          </w:tcPr>
          <w:p w14:paraId="6B2179DF" w14:textId="77777777" w:rsidR="007A1824" w:rsidRDefault="00000000">
            <w:r>
              <w:rPr>
                <w:sz w:val="20"/>
              </w:rPr>
              <w:t>The wording supports operational need, but does not define who may disclose unofficial data.</w:t>
            </w:r>
          </w:p>
        </w:tc>
      </w:tr>
      <w:tr w:rsidR="007A1824" w14:paraId="2B24D516" w14:textId="77777777" w:rsidTr="009463CE">
        <w:trPr>
          <w:jc w:val="center"/>
        </w:trPr>
        <w:tc>
          <w:tcPr>
            <w:tcW w:w="1747" w:type="dxa"/>
          </w:tcPr>
          <w:p w14:paraId="7557BF01" w14:textId="77777777" w:rsidR="007A1824" w:rsidRDefault="00000000">
            <w:r>
              <w:rPr>
                <w:sz w:val="20"/>
              </w:rPr>
              <w:t>Pre-service records</w:t>
            </w:r>
          </w:p>
        </w:tc>
        <w:tc>
          <w:tcPr>
            <w:tcW w:w="4380" w:type="dxa"/>
          </w:tcPr>
          <w:p w14:paraId="424778C8" w14:textId="77777777" w:rsidR="007A1824" w:rsidRDefault="00000000">
            <w:r>
              <w:rPr>
                <w:sz w:val="20"/>
              </w:rPr>
              <w:t>Available manuals, logs, certificates, safety documents and asset condition records may be needed before service commencement.</w:t>
            </w:r>
          </w:p>
        </w:tc>
        <w:tc>
          <w:tcPr>
            <w:tcW w:w="3775" w:type="dxa"/>
          </w:tcPr>
          <w:p w14:paraId="4AF16E64" w14:textId="77777777" w:rsidR="007A1824" w:rsidRDefault="00000000">
            <w:r>
              <w:rPr>
                <w:sz w:val="20"/>
              </w:rPr>
              <w:t>Availability does not necessarily equal authorization for formal submission.</w:t>
            </w:r>
          </w:p>
        </w:tc>
      </w:tr>
      <w:tr w:rsidR="007A1824" w14:paraId="5F2867B6" w14:textId="77777777" w:rsidTr="009463CE">
        <w:trPr>
          <w:jc w:val="center"/>
        </w:trPr>
        <w:tc>
          <w:tcPr>
            <w:tcW w:w="1747" w:type="dxa"/>
          </w:tcPr>
          <w:p w14:paraId="3F0F6FE7" w14:textId="77777777" w:rsidR="007A1824" w:rsidRDefault="00000000">
            <w:r>
              <w:rPr>
                <w:sz w:val="20"/>
              </w:rPr>
              <w:t>Asset inspection and discrepancies</w:t>
            </w:r>
          </w:p>
        </w:tc>
        <w:tc>
          <w:tcPr>
            <w:tcW w:w="4380" w:type="dxa"/>
          </w:tcPr>
          <w:p w14:paraId="4E44D2A0" w14:textId="77777777" w:rsidR="007A1824" w:rsidRDefault="00000000">
            <w:r>
              <w:rPr>
                <w:sz w:val="20"/>
              </w:rPr>
              <w:t>Asset condition, missing certificates, defects and register discrepancies must be checked and reported.</w:t>
            </w:r>
          </w:p>
        </w:tc>
        <w:tc>
          <w:tcPr>
            <w:tcW w:w="3775" w:type="dxa"/>
          </w:tcPr>
          <w:p w14:paraId="41511892" w14:textId="77777777" w:rsidR="007A1824" w:rsidRDefault="00000000">
            <w:r>
              <w:rPr>
                <w:sz w:val="20"/>
              </w:rPr>
              <w:t>The obligation assumes reliable source data but does not validate informal registers.</w:t>
            </w:r>
          </w:p>
        </w:tc>
      </w:tr>
      <w:tr w:rsidR="007A1824" w14:paraId="1F954569" w14:textId="77777777" w:rsidTr="009463CE">
        <w:trPr>
          <w:jc w:val="center"/>
        </w:trPr>
        <w:tc>
          <w:tcPr>
            <w:tcW w:w="1747" w:type="dxa"/>
          </w:tcPr>
          <w:p w14:paraId="2C1FA6AE" w14:textId="77777777" w:rsidR="007A1824" w:rsidRDefault="00000000">
            <w:r>
              <w:rPr>
                <w:sz w:val="20"/>
              </w:rPr>
              <w:t>Audit and records</w:t>
            </w:r>
          </w:p>
        </w:tc>
        <w:tc>
          <w:tcPr>
            <w:tcW w:w="4380" w:type="dxa"/>
          </w:tcPr>
          <w:p w14:paraId="554A3AD3" w14:textId="77777777" w:rsidR="007A1824" w:rsidRDefault="00000000">
            <w:r>
              <w:rPr>
                <w:sz w:val="20"/>
              </w:rPr>
              <w:t>Accurate records and audit support are required during service delivery.</w:t>
            </w:r>
          </w:p>
        </w:tc>
        <w:tc>
          <w:tcPr>
            <w:tcW w:w="3775" w:type="dxa"/>
          </w:tcPr>
          <w:p w14:paraId="1BBF93C9" w14:textId="77777777" w:rsidR="007A1824" w:rsidRDefault="00000000">
            <w:r>
              <w:rPr>
                <w:sz w:val="20"/>
              </w:rPr>
              <w:t>Auditability requires source control, authorization status and version control.</w:t>
            </w:r>
          </w:p>
        </w:tc>
      </w:tr>
    </w:tbl>
    <w:p w14:paraId="3C949A3F" w14:textId="77777777" w:rsidR="007A1824" w:rsidRDefault="007A1824">
      <w:pPr>
        <w:spacing w:after="40"/>
      </w:pPr>
    </w:p>
    <w:p w14:paraId="2BEE3935" w14:textId="77777777" w:rsidR="007A1824" w:rsidRDefault="00000000">
      <w:pPr>
        <w:spacing w:after="120" w:line="259" w:lineRule="auto"/>
      </w:pPr>
      <w:r>
        <w:t>A service-standard provision may require accurate records, competent service delivery and required reports. Audit and cooperation provisions may require information support during audits and inspections. Access provisions may allow access to assets for service performance. These provisions support traceability, evidence control and service execution. However, based on the reviewed wording, there appears to be a missing element: a clear authorization clause describing what client data may be used, by whom, for what purpose, through which source, with what confidentiality controls, and whether contractors or vendors are authorized to disclose such data to the FM service provider.</w:t>
      </w:r>
    </w:p>
    <w:p w14:paraId="6D156351" w14:textId="77777777" w:rsidR="007A1824" w:rsidRDefault="00000000">
      <w:pPr>
        <w:spacing w:before="160" w:after="100"/>
      </w:pPr>
      <w:r>
        <w:rPr>
          <w:b/>
          <w:sz w:val="24"/>
        </w:rPr>
        <w:t>5. Practical Risk Scenario</w:t>
      </w:r>
    </w:p>
    <w:p w14:paraId="68901C0D" w14:textId="77777777" w:rsidR="007A1824" w:rsidRDefault="00000000">
      <w:pPr>
        <w:spacing w:after="120" w:line="259" w:lineRule="auto"/>
      </w:pPr>
      <w:r>
        <w:t>A common scenario is the transition from construction to FM. Some personnel may have previously participated in construction, commissioning, defect rectification, consultant coordination or contractor management. When they join or support the FM service provider, they may already possess drawings, photographs, equipment schedules, asset lists, commissioning records or historical defect information. They may also know where information is stored or whom to contact informally.</w:t>
      </w:r>
    </w:p>
    <w:p w14:paraId="7B9101D9" w14:textId="77777777" w:rsidR="007A1824" w:rsidRDefault="00000000">
      <w:pPr>
        <w:spacing w:after="120" w:line="259" w:lineRule="auto"/>
      </w:pPr>
      <w:r>
        <w:t>This creates a practical advantage, because the FM team can move faster and prepare more realistic plans. It also creates a governance risk. The data may have been produced for a different purpose, under a different contract, by a different party, or under confidentiality obligations. It may be outdated, incomplete, draft-only, superseded, or not intended for external submission. If such data is inserted into an FM plan and submitted to the client, it may appear to be verified, authorized and accepted by the FM service provider.</w:t>
      </w:r>
    </w:p>
    <w:p w14:paraId="0500EDF4" w14:textId="77777777" w:rsidR="007A1824" w:rsidRDefault="00000000">
      <w:pPr>
        <w:spacing w:after="120" w:line="259" w:lineRule="auto"/>
      </w:pPr>
      <w:r>
        <w:t xml:space="preserve">The same risk applies to data obtained through informal relationships. A contractor, vendor, consultant or former colleague may share asset lists, room data, system screenshots, point schedules or defect logs to help the FM team. Unless the client has authorized that party to disclose the data for FM use, the FM service provider may face </w:t>
      </w:r>
      <w:r>
        <w:lastRenderedPageBreak/>
        <w:t>uncertainty over disclosure rights. Good intention does not remove the need for authorization, confidentiality control and source verification.</w:t>
      </w:r>
    </w:p>
    <w:p w14:paraId="0FB55088" w14:textId="77777777" w:rsidR="007A1824" w:rsidRDefault="00000000">
      <w:pPr>
        <w:spacing w:before="160" w:after="100"/>
      </w:pPr>
      <w:r>
        <w:rPr>
          <w:b/>
          <w:sz w:val="24"/>
        </w:rPr>
        <w:t>6. Potential Risks and Legal Consequences</w:t>
      </w:r>
    </w:p>
    <w:p w14:paraId="2260FC25" w14:textId="77777777" w:rsidR="009463CE" w:rsidRDefault="00000000">
      <w:pPr>
        <w:spacing w:after="120" w:line="259" w:lineRule="auto"/>
        <w:rPr>
          <w:rFonts w:eastAsia="宋体"/>
          <w:lang w:eastAsia="zh-CN"/>
        </w:rPr>
      </w:pPr>
      <w:r>
        <w:t xml:space="preserve">The first risk is unauthorized use or disclosure of project information. If data is used without a clear authorization basis, the formal submission may be challenged on confidentiality, document-control or data-security grounds. </w:t>
      </w:r>
    </w:p>
    <w:p w14:paraId="39DF2F4C" w14:textId="1E5E4A9C" w:rsidR="007A1824" w:rsidRDefault="00000000">
      <w:pPr>
        <w:spacing w:after="120" w:line="259" w:lineRule="auto"/>
      </w:pPr>
      <w:r>
        <w:t>The second risk is third-party disclosure risk. If the data came from a contractor, consultant, vendor or individual, it may be unclear whether that party had the right to provide it.</w:t>
      </w:r>
    </w:p>
    <w:p w14:paraId="440AF5F7" w14:textId="77777777" w:rsidR="009463CE" w:rsidRDefault="00000000">
      <w:pPr>
        <w:spacing w:after="120" w:line="259" w:lineRule="auto"/>
        <w:rPr>
          <w:rFonts w:eastAsia="宋体"/>
          <w:lang w:eastAsia="zh-CN"/>
        </w:rPr>
      </w:pPr>
      <w:r>
        <w:t xml:space="preserve">The third risk is accuracy and reliance risk. Informal data may not match the current site condition, official drawings, accepted test records or approved asset register. If it is presented without qualification, the FM service provider may be seen as relying on, confirming or adopting inaccurate information. </w:t>
      </w:r>
    </w:p>
    <w:p w14:paraId="422651CC" w14:textId="7DB5D721" w:rsidR="007A1824" w:rsidRDefault="00000000">
      <w:pPr>
        <w:spacing w:after="120" w:line="259" w:lineRule="auto"/>
      </w:pPr>
      <w:r>
        <w:t>The fourth risk is contractual and responsibility risk. Specific data may be interpreted as confirmation of asset quantity, location, system status, condition, defect responsibility or handover scope.</w:t>
      </w:r>
    </w:p>
    <w:p w14:paraId="531CDB1F" w14:textId="77777777" w:rsidR="007A1824" w:rsidRDefault="00000000">
      <w:pPr>
        <w:spacing w:after="120" w:line="259" w:lineRule="auto"/>
      </w:pPr>
      <w:r>
        <w:t>Possible consequences may include client challenge, rejection of submissions, request for correction, delay in approval, audit comments, contract dispute, responsibility attribution, confidentiality dispute or loss of credibility. In a serious case, the issue may affect whether a report, action plan or register is accepted as valid evidence. The specific legal consequence must be assessed by legal counsel, but the control principle is clear: source, authorization, status and permitted use should be traceable before specific project data is used externally.</w:t>
      </w:r>
    </w:p>
    <w:p w14:paraId="150F1034" w14:textId="77777777" w:rsidR="007A1824" w:rsidRDefault="00000000">
      <w:pPr>
        <w:spacing w:before="160" w:after="100"/>
      </w:pPr>
      <w:r>
        <w:rPr>
          <w:b/>
          <w:sz w:val="24"/>
        </w:rPr>
        <w:t>7. Recommended Controls</w:t>
      </w:r>
    </w:p>
    <w:p w14:paraId="7DED497E" w14:textId="77777777" w:rsidR="007A1824" w:rsidRDefault="00000000">
      <w:pPr>
        <w:spacing w:after="120" w:line="259" w:lineRule="auto"/>
      </w:pPr>
      <w:r>
        <w:t>Before specific project data is used in external submissions, management or legal should request written confirmation from the client on the authorized scope, permitted purposes and limitations for data use. The request should also ask the client to confirm which contractors, consultants, vendors, system providers or other parties are authorized to provide information to the FM service provider for mobilization, takeover inspection, vacancy-period operation and service readiness.</w:t>
      </w:r>
    </w:p>
    <w:p w14:paraId="1329663B" w14:textId="77777777" w:rsidR="007A1824" w:rsidRDefault="00000000">
      <w:pPr>
        <w:spacing w:after="120" w:line="259" w:lineRule="auto"/>
      </w:pPr>
      <w:r>
        <w:t>The FM team can support this process by preparing a data requirement list. The list should identify required categories, intended use, priority level, required timing, responsible source and confidentiality sensitivity. Typical categories include drawings, room schedules, space data, area records, asset registers, equipment lists, nameplate data, system diagrams, schematics, point lists, testing and commissioning records, statutory certificates, warranties, operation and maintenance manuals, defect lists, punch lists, site-condition records, access information, safety procedures and system integration data.</w:t>
      </w:r>
    </w:p>
    <w:p w14:paraId="364397DC" w14:textId="77777777" w:rsidR="007A1824" w:rsidRDefault="00000000">
      <w:pPr>
        <w:spacing w:after="120" w:line="259" w:lineRule="auto"/>
      </w:pPr>
      <w:r>
        <w:t>A simple data control log should be maintained for any non-official information used during preparation. The log should record the file name, source person or organization, date received, purpose of use, authorization status, version status, sensitivity level, and whether the data may be used internally only or may be included in a formal submission. This log will help separate useful working information from information suitable for client-facing documents at each review gate.</w:t>
      </w:r>
    </w:p>
    <w:p w14:paraId="5A25B620" w14:textId="77777777" w:rsidR="007A1824" w:rsidRDefault="00000000">
      <w:pPr>
        <w:spacing w:after="120" w:line="259" w:lineRule="auto"/>
      </w:pPr>
      <w:r>
        <w:t>Until written authorization or official handover data is confirmed, formal external submissions should avoid displaying specific and identifiable project data. The documents may instead present methodology, workflows, templates, responsibilities, inspection logic, risk controls, data fields and items subject to official confirmation. If working data must be referenced internally, it should be marked as working reference only, subject to official confirmation and actual site verification.</w:t>
      </w:r>
    </w:p>
    <w:p w14:paraId="73C8D658" w14:textId="77777777" w:rsidR="007A1824" w:rsidRDefault="00000000">
      <w:pPr>
        <w:spacing w:before="160" w:after="100"/>
      </w:pPr>
      <w:r>
        <w:rPr>
          <w:b/>
          <w:sz w:val="24"/>
        </w:rPr>
        <w:t>8. Suggested Conclusion</w:t>
      </w:r>
    </w:p>
    <w:p w14:paraId="7AD3DD4F" w14:textId="77777777" w:rsidR="007A1824" w:rsidRDefault="00000000">
      <w:pPr>
        <w:spacing w:after="120" w:line="259" w:lineRule="auto"/>
      </w:pPr>
      <w:r>
        <w:t>The contract appears to support the FM service provider's need to request and review data required for mobilization, takeover inspection, asset verification, vacancy-period operation and service readiness. However, the reviewed wording does not appear to clearly address authorization for using unofficial working data, historical data, personally obtained data or third-party provided data in formal plans, reports and submissions.</w:t>
      </w:r>
    </w:p>
    <w:p w14:paraId="2CDE1CE8" w14:textId="77777777" w:rsidR="007A1824" w:rsidRDefault="00000000">
      <w:pPr>
        <w:spacing w:after="120" w:line="259" w:lineRule="auto"/>
      </w:pPr>
      <w:r>
        <w:lastRenderedPageBreak/>
        <w:t>Accordingly, the conservative position is that specific project asset data, equipment quantities, space codes, system status, drawings, asset lists and historical records should not be presented as verified or authorized facts in external submissions unless their source, authorization and confirmation status are clear and traceable. The preferred approach is to obtain written client authorization and third-party disclosure confirmation before using such data formally. Until then, such information should remain an internal working reference and planning assumption.</w:t>
      </w:r>
    </w:p>
    <w:sectPr w:rsidR="007A1824"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850947102">
    <w:abstractNumId w:val="8"/>
  </w:num>
  <w:num w:numId="2" w16cid:durableId="624116745">
    <w:abstractNumId w:val="6"/>
  </w:num>
  <w:num w:numId="3" w16cid:durableId="227881057">
    <w:abstractNumId w:val="5"/>
  </w:num>
  <w:num w:numId="4" w16cid:durableId="141390851">
    <w:abstractNumId w:val="4"/>
  </w:num>
  <w:num w:numId="5" w16cid:durableId="2075345831">
    <w:abstractNumId w:val="7"/>
  </w:num>
  <w:num w:numId="6" w16cid:durableId="1906261580">
    <w:abstractNumId w:val="3"/>
  </w:num>
  <w:num w:numId="7" w16cid:durableId="1569001716">
    <w:abstractNumId w:val="2"/>
  </w:num>
  <w:num w:numId="8" w16cid:durableId="1320499727">
    <w:abstractNumId w:val="1"/>
  </w:num>
  <w:num w:numId="9" w16cid:durableId="10246005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159F6"/>
    <w:rsid w:val="00136076"/>
    <w:rsid w:val="0015074B"/>
    <w:rsid w:val="00292C88"/>
    <w:rsid w:val="0029639D"/>
    <w:rsid w:val="00326F90"/>
    <w:rsid w:val="00343206"/>
    <w:rsid w:val="007A1824"/>
    <w:rsid w:val="008E36ED"/>
    <w:rsid w:val="009463CE"/>
    <w:rsid w:val="00AA1D8D"/>
    <w:rsid w:val="00B1111B"/>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92F34E4"/>
  <w14:defaultImageDpi w14:val="300"/>
  <w15:docId w15:val="{C634109F-DBCC-4D69-82FE-B5AA8E995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1"/>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AB00200189A674CB62774EB9570F4E0" ma:contentTypeVersion="18" ma:contentTypeDescription="Create a new document." ma:contentTypeScope="" ma:versionID="38b778ec4665d215849752357e6ad2a5">
  <xsd:schema xmlns:xsd="http://www.w3.org/2001/XMLSchema" xmlns:xs="http://www.w3.org/2001/XMLSchema" xmlns:p="http://schemas.microsoft.com/office/2006/metadata/properties" xmlns:ns2="0c9d1fb4-309c-4e2b-866d-e45a9c521d63" xmlns:ns3="dccfde89-c92d-4093-80c1-5b5ec3902cca" targetNamespace="http://schemas.microsoft.com/office/2006/metadata/properties" ma:root="true" ma:fieldsID="5efa3f8970e9fe37307d06064290388f" ns2:_="" ns3:_="">
    <xsd:import namespace="0c9d1fb4-309c-4e2b-866d-e45a9c521d63"/>
    <xsd:import namespace="dccfde89-c92d-4093-80c1-5b5ec3902cc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SearchPropertie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9d1fb4-309c-4e2b-866d-e45a9c521d6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0b98a8c-9b05-456b-90ff-b3271339922e"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cfde89-c92d-4093-80c1-5b5ec3902cca"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element name="TaxCatchAll" ma:index="22" nillable="true" ma:displayName="Taxonomy Catch All Column" ma:hidden="true" ma:list="{15a4b602-a72e-4c03-8b04-b4b1687b2df7}" ma:internalName="TaxCatchAll" ma:showField="CatchAllData" ma:web="dccfde89-c92d-4093-80c1-5b5ec3902cc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dccfde89-c92d-4093-80c1-5b5ec3902cca" xsi:nil="true"/>
    <lcf76f155ced4ddcb4097134ff3c332f xmlns="0c9d1fb4-309c-4e2b-866d-e45a9c521d6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3121CA3F-379F-4842-8884-3BC02690FB09}"/>
</file>

<file path=customXml/itemProps3.xml><?xml version="1.0" encoding="utf-8"?>
<ds:datastoreItem xmlns:ds="http://schemas.openxmlformats.org/officeDocument/2006/customXml" ds:itemID="{6371A326-6A80-477B-B1FD-EA57F138FD4C}"/>
</file>

<file path=customXml/itemProps4.xml><?xml version="1.0" encoding="utf-8"?>
<ds:datastoreItem xmlns:ds="http://schemas.openxmlformats.org/officeDocument/2006/customXml" ds:itemID="{13D0163C-C1E9-461C-A846-F6769D7B4F6B}"/>
</file>

<file path=docProps/app.xml><?xml version="1.0" encoding="utf-8"?>
<Properties xmlns="http://schemas.openxmlformats.org/officeDocument/2006/extended-properties" xmlns:vt="http://schemas.openxmlformats.org/officeDocument/2006/docPropsVTypes">
  <Template>Normal.dotm</Template>
  <TotalTime>21</TotalTime>
  <Pages>4</Pages>
  <Words>2058</Words>
  <Characters>11731</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13762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Note on Project Data Authorization and Use Control</dc:title>
  <dc:subject/>
  <dc:creator/>
  <cp:keywords/>
  <dc:description/>
  <cp:lastModifiedBy>xy Y</cp:lastModifiedBy>
  <cp:revision>3</cp:revision>
  <dcterms:created xsi:type="dcterms:W3CDTF">2013-12-23T23:15:00Z</dcterms:created>
  <dcterms:modified xsi:type="dcterms:W3CDTF">2026-06-15T18:20:00Z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0x0101004AB00200189A674CB62774EB9570F4E0</vt:lpwstr>
  </property>
  <property fmtid="{D5CDD505-2E9C-101B-9397-08002B2CF9AE}" pid="4" name="docLang">
    <vt:lpwstr>en</vt:lpwstr>
  </property>
  <property fmtid="{D5CDD505-2E9C-101B-9397-08002B2CF9AE}" pid="5" name="MediaServiceImageTags">
    <vt:lpwstr/>
  </property>
</Properties>
</file>