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8A9" w14:textId="52AE98AA" w:rsidR="00666F54" w:rsidRPr="00666F54" w:rsidRDefault="00666F54" w:rsidP="00666F54">
      <w:pPr>
        <w:rPr>
          <w:b/>
          <w:bCs/>
          <w:sz w:val="40"/>
          <w:szCs w:val="40"/>
        </w:rPr>
      </w:pPr>
      <w:r w:rsidRPr="00666F54">
        <w:rPr>
          <w:b/>
          <w:bCs/>
          <w:sz w:val="40"/>
          <w:szCs w:val="40"/>
        </w:rPr>
        <w:t>How to Train the Human (and Machine) Workforce of Tomorrow</w:t>
      </w:r>
    </w:p>
    <w:p w14:paraId="44EDBF3F" w14:textId="45365113" w:rsidR="00666F54" w:rsidRDefault="00666F54" w:rsidP="00666F54">
      <w:pPr>
        <w:rPr>
          <w:i/>
          <w:iCs/>
        </w:rPr>
      </w:pPr>
      <w:r w:rsidRPr="00666F54">
        <w:rPr>
          <w:i/>
          <w:iCs/>
        </w:rPr>
        <w:t xml:space="preserve">By Angela </w:t>
      </w:r>
      <w:r w:rsidR="00734B35">
        <w:rPr>
          <w:i/>
          <w:iCs/>
        </w:rPr>
        <w:t xml:space="preserve">Johnson </w:t>
      </w:r>
      <w:r w:rsidRPr="00666F54">
        <w:rPr>
          <w:i/>
          <w:iCs/>
        </w:rPr>
        <w:t>Culver and John Borden</w:t>
      </w:r>
    </w:p>
    <w:p w14:paraId="3C189D13" w14:textId="24B817AB" w:rsidR="00A815F5" w:rsidRDefault="00A815F5" w:rsidP="00666F54">
      <w:r>
        <w:t xml:space="preserve">Image: </w:t>
      </w:r>
      <w:hyperlink r:id="rId6" w:history="1">
        <w:r w:rsidRPr="00E63FDA">
          <w:rPr>
            <w:rStyle w:val="Hyperlink"/>
          </w:rPr>
          <w:t>https://brandcenter.abm.com/asset/f08fe291-353e-4004-9c9e-5da4912603b7/Web-Landscape/ABM-JAN-5812-robot.webp</w:t>
        </w:r>
      </w:hyperlink>
    </w:p>
    <w:p w14:paraId="6FCEA209" w14:textId="0848D4C6" w:rsidR="00666F54" w:rsidRPr="00666F54" w:rsidRDefault="00666F54" w:rsidP="00666F54">
      <w:r w:rsidRPr="00666F54">
        <w:t>Before the first occupants arrive, a facility technician reviews a diagnostics summary generated overnight. A rooftop HVAC unit shows a subtle pressure variance</w:t>
      </w:r>
      <w:r>
        <w:t>, which</w:t>
      </w:r>
      <w:r w:rsidRPr="00666F54">
        <w:t xml:space="preserve"> might not have triggered a work order in a traditional maintenance model. The issue is identified early, scheduled for inspection, and addressed before it affects building operations.</w:t>
      </w:r>
    </w:p>
    <w:p w14:paraId="652B1E6A" w14:textId="77777777" w:rsidR="00666F54" w:rsidRPr="00666F54" w:rsidRDefault="00666F54" w:rsidP="00666F54">
      <w:r w:rsidRPr="00666F54">
        <w:t>Elsewhere in the building, a cleaning technician adjusts their route based on real-time occupancy patterns, while an operations manager reviews system alerts and assigns follow-up work through a centralized workflow platform.</w:t>
      </w:r>
    </w:p>
    <w:p w14:paraId="423ABF1F" w14:textId="77777777" w:rsidR="00666F54" w:rsidRPr="00666F54" w:rsidRDefault="00666F54" w:rsidP="00666F54">
      <w:r w:rsidRPr="00666F54">
        <w:t>These scenarios reflect a broader shift underway in facility management: the integration of connected systems with a workforce trained to interpret and act on real-time data.</w:t>
      </w:r>
    </w:p>
    <w:p w14:paraId="62C2D057" w14:textId="448FD6BA" w:rsidR="00666F54" w:rsidRPr="00666F54" w:rsidRDefault="00666F54" w:rsidP="00666F54">
      <w:r w:rsidRPr="00666F54">
        <w:t>In recent years, facility operations have become more complex as buildings generate increasing volumes of data. Sensors, automation systems, and analytics platforms provide deeper visibility into performance, but the effectiveness of these tools depends on the people using them. As a result, the conversation is no longer just about adopting new technology</w:t>
      </w:r>
      <w:r>
        <w:t>, but</w:t>
      </w:r>
      <w:r w:rsidRPr="00666F54">
        <w:t xml:space="preserve"> about preparing the workforce to use it effectively.</w:t>
      </w:r>
    </w:p>
    <w:p w14:paraId="4E4DDB1A" w14:textId="77777777" w:rsidR="00666F54" w:rsidRDefault="00666F54" w:rsidP="00666F54"/>
    <w:p w14:paraId="5DFB3D33" w14:textId="6C7704B8" w:rsidR="00666F54" w:rsidRPr="00666F54" w:rsidRDefault="00666F54" w:rsidP="00666F54">
      <w:r w:rsidRPr="00666F54">
        <w:rPr>
          <w:b/>
          <w:bCs/>
        </w:rPr>
        <w:t>Why human-machine collaboration matters</w:t>
      </w:r>
    </w:p>
    <w:p w14:paraId="0A67B60E" w14:textId="77777777" w:rsidR="00666F54" w:rsidRPr="00666F54" w:rsidRDefault="00666F54" w:rsidP="00666F54">
      <w:r w:rsidRPr="00666F54">
        <w:t>The benefits of data-enabled facilities are well established. Organizations that leverage connected systems can improve uptime, enhance occupant experience, and operate more efficiently. These systems can identify anomalies earlier, support more proactive maintenance strategies, and provide a more comprehensive view of building performance.</w:t>
      </w:r>
    </w:p>
    <w:p w14:paraId="47BFF979" w14:textId="77777777" w:rsidR="00666F54" w:rsidRPr="00666F54" w:rsidRDefault="00666F54" w:rsidP="00666F54">
      <w:r w:rsidRPr="00666F54">
        <w:t>However, technology alone does not deliver these outcomes. Predictive insights must be interpreted, validated, and acted upon by trained professionals. A system-generated alert only becomes valuable when a technician understands its significance and takes appropriate action. Likewise, dynamic workflows are only effective when frontline staff are equipped to adapt their routines in response to new information.</w:t>
      </w:r>
    </w:p>
    <w:p w14:paraId="2AD26E40" w14:textId="77777777" w:rsidR="00666F54" w:rsidRPr="00666F54" w:rsidRDefault="00666F54" w:rsidP="00666F54">
      <w:r w:rsidRPr="00666F54">
        <w:lastRenderedPageBreak/>
        <w:t>In practice, most facility environments remain human-in-the-loop. Systems detect patterns, but people make decisions. Without adequate training and support, organizations risk underutilizing their technology investments and limiting the value these systems can provide.</w:t>
      </w:r>
    </w:p>
    <w:p w14:paraId="7D05257B" w14:textId="77777777" w:rsidR="00666F54" w:rsidRDefault="00666F54" w:rsidP="00666F54"/>
    <w:p w14:paraId="512FA8C3" w14:textId="3EC2FEEA" w:rsidR="00666F54" w:rsidRPr="00666F54" w:rsidRDefault="00666F54" w:rsidP="00666F54">
      <w:r w:rsidRPr="00666F54">
        <w:rPr>
          <w:b/>
          <w:bCs/>
        </w:rPr>
        <w:t>A new operating model for facility teams</w:t>
      </w:r>
    </w:p>
    <w:p w14:paraId="2C6A28B1" w14:textId="77777777" w:rsidR="00666F54" w:rsidRPr="00666F54" w:rsidRDefault="00666F54" w:rsidP="00666F54">
      <w:r w:rsidRPr="00666F54">
        <w:t>Traditional maintenance workflows often rely on scheduled tasks or reactive responses. Technicians complete work, document it after the fact, and move on to the next issue. This approach can limit visibility across teams and delay the identification of recurring problems.</w:t>
      </w:r>
    </w:p>
    <w:p w14:paraId="7FA7DEB2" w14:textId="77777777" w:rsidR="00666F54" w:rsidRPr="00666F54" w:rsidRDefault="00666F54" w:rsidP="00666F54">
      <w:r w:rsidRPr="00666F54">
        <w:t>In more connected environments, workflows are becoming more integrated. Technicians receive alerts in real time, respond in the field, and document their work through mobile tools. This information feeds directly into centralized systems, creating a continuous loop between detection, response, and historical asset data.</w:t>
      </w:r>
    </w:p>
    <w:p w14:paraId="66174F0B" w14:textId="77777777" w:rsidR="00666F54" w:rsidRPr="00666F54" w:rsidRDefault="00666F54" w:rsidP="00666F54">
      <w:r w:rsidRPr="00666F54">
        <w:t xml:space="preserve">This shift improves visibility </w:t>
      </w:r>
      <w:proofErr w:type="gramStart"/>
      <w:r w:rsidRPr="00666F54">
        <w:t>into</w:t>
      </w:r>
      <w:proofErr w:type="gramEnd"/>
      <w:r w:rsidRPr="00666F54">
        <w:t xml:space="preserve"> system performance and enables more informed decision-making. It also allows organizations to move from reactive maintenance toward more proactive and predictive approaches, reducing unplanned downtime and improving overall reliability.</w:t>
      </w:r>
    </w:p>
    <w:p w14:paraId="274046EB" w14:textId="77777777" w:rsidR="00666F54" w:rsidRPr="00666F54" w:rsidRDefault="00666F54" w:rsidP="00666F54">
      <w:r w:rsidRPr="00666F54">
        <w:t>At the same time, it changes the nature of the work itself. Automation reduces time spent on manual documentation and routine tasks, allowing technicians to focus on activities that require judgment and expertise. It also provides access to data that was previously unavailable, such as complete maintenance histories and performance trends for individual assets.</w:t>
      </w:r>
    </w:p>
    <w:p w14:paraId="7DB55F8F" w14:textId="77777777" w:rsidR="00666F54" w:rsidRDefault="00666F54" w:rsidP="00666F54"/>
    <w:p w14:paraId="1A254F99" w14:textId="26F32E36" w:rsidR="00666F54" w:rsidRPr="00666F54" w:rsidRDefault="00666F54" w:rsidP="00666F54">
      <w:r w:rsidRPr="00666F54">
        <w:rPr>
          <w:b/>
          <w:bCs/>
        </w:rPr>
        <w:t>Preserving institutional knowledge through data</w:t>
      </w:r>
    </w:p>
    <w:p w14:paraId="4653604D" w14:textId="1701AABB" w:rsidR="00666F54" w:rsidRPr="00666F54" w:rsidRDefault="00666F54" w:rsidP="00666F54">
      <w:r w:rsidRPr="00666F54">
        <w:t>One of the most significant challenges facing facility management today is the loss of institutional knowledge as experienced professionals retire. Skilled technicians often develop an intuitive understanding of building systems over time</w:t>
      </w:r>
      <w:r>
        <w:t>. They recognize</w:t>
      </w:r>
      <w:r w:rsidRPr="00666F54">
        <w:t xml:space="preserve"> subtle changes in performance and address issues before they escalate.</w:t>
      </w:r>
      <w:r>
        <w:t xml:space="preserve"> This</w:t>
      </w:r>
      <w:r w:rsidRPr="00666F54">
        <w:t xml:space="preserve"> accumulation of practical knowledge is rarely documented.</w:t>
      </w:r>
    </w:p>
    <w:p w14:paraId="07A2380D" w14:textId="77777777" w:rsidR="00666F54" w:rsidRPr="00666F54" w:rsidRDefault="00666F54" w:rsidP="00666F54">
      <w:r w:rsidRPr="00666F54">
        <w:t>When these individuals leave, that knowledge can be difficult to replace.</w:t>
      </w:r>
    </w:p>
    <w:p w14:paraId="754D0889" w14:textId="77777777" w:rsidR="00666F54" w:rsidRPr="00666F54" w:rsidRDefault="00666F54" w:rsidP="00666F54">
      <w:r w:rsidRPr="00666F54">
        <w:lastRenderedPageBreak/>
        <w:t>Digital systems can help address this gap by capturing and organizing information that was once informal or undocumented. Maintenance activities, system performance data, and recurring issues can be recorded and analyzed over time, creating a more accessible knowledge base for current and future teams.</w:t>
      </w:r>
    </w:p>
    <w:p w14:paraId="274D6A5B" w14:textId="77777777" w:rsidR="00666F54" w:rsidRPr="00666F54" w:rsidRDefault="00666F54" w:rsidP="00666F54">
      <w:r w:rsidRPr="00666F54">
        <w:t>While this does not replace experience, it provides a foundation that helps organizations retain critical insights and make more informed decisions about maintenance and capital planning.</w:t>
      </w:r>
    </w:p>
    <w:p w14:paraId="145D4646" w14:textId="77777777" w:rsidR="00A73786" w:rsidRDefault="00A73786" w:rsidP="00666F54"/>
    <w:p w14:paraId="76724693" w14:textId="7986065A" w:rsidR="00666F54" w:rsidRPr="00666F54" w:rsidRDefault="00666F54" w:rsidP="00666F54">
      <w:r w:rsidRPr="00666F54">
        <w:rPr>
          <w:b/>
          <w:bCs/>
        </w:rPr>
        <w:t xml:space="preserve">Upskilling the </w:t>
      </w:r>
      <w:r w:rsidR="00A73786">
        <w:rPr>
          <w:b/>
          <w:bCs/>
        </w:rPr>
        <w:t>w</w:t>
      </w:r>
      <w:r w:rsidRPr="00666F54">
        <w:rPr>
          <w:b/>
          <w:bCs/>
        </w:rPr>
        <w:t>orkforce</w:t>
      </w:r>
    </w:p>
    <w:p w14:paraId="190A7442" w14:textId="77777777" w:rsidR="00666F54" w:rsidRPr="00666F54" w:rsidRDefault="00666F54" w:rsidP="00666F54">
      <w:r w:rsidRPr="00666F54">
        <w:t>As facility operations become more data-driven, the skill sets required of technicians are evolving. In addition to mechanical and technical expertise, professionals must now be able to interpret performance data, navigate digital platforms, and manage work through integrated systems.</w:t>
      </w:r>
    </w:p>
    <w:p w14:paraId="411ACF62" w14:textId="3926E7FE" w:rsidR="00666F54" w:rsidRPr="00666F54" w:rsidRDefault="00666F54" w:rsidP="00666F54">
      <w:r w:rsidRPr="00666F54">
        <w:t>This does not mean replacing traditional skills but building on them. Technicians still rely on hands-on knowledge of equipment and systems, but they are increasingly supported by tools that provide additional context and insight.</w:t>
      </w:r>
    </w:p>
    <w:p w14:paraId="3C92C06A" w14:textId="77777777" w:rsidR="00666F54" w:rsidRPr="00666F54" w:rsidRDefault="00666F54" w:rsidP="00666F54">
      <w:r w:rsidRPr="00666F54">
        <w:t>In practice, this shift requires training that goes beyond basic system use. Technicians must understand how data is generated, what it represents, and how it should inform decision-making. They also need to be comfortable working within digital workflows, from managing work orders to documenting activities in real time.</w:t>
      </w:r>
    </w:p>
    <w:p w14:paraId="64EC65DE" w14:textId="75890F59" w:rsidR="00666F54" w:rsidRPr="00666F54" w:rsidRDefault="00666F54" w:rsidP="00666F54">
      <w:r w:rsidRPr="00666F54">
        <w:t>For example, consider a scenario where performance data indicates a gradual increase in vibration in a cooling unit. On its own, the data point may not seem significant. However, when viewed in context</w:t>
      </w:r>
      <w:r w:rsidR="00A73786">
        <w:t xml:space="preserve">, </w:t>
      </w:r>
      <w:r w:rsidRPr="00666F54">
        <w:t>such as historical performance trends and known failure patterns</w:t>
      </w:r>
      <w:r w:rsidR="00A73786">
        <w:t xml:space="preserve">, </w:t>
      </w:r>
      <w:r w:rsidRPr="00666F54">
        <w:t>it can signal an emerging issue.</w:t>
      </w:r>
    </w:p>
    <w:p w14:paraId="5C0CDACD" w14:textId="77777777" w:rsidR="00666F54" w:rsidRPr="00666F54" w:rsidRDefault="00666F54" w:rsidP="00666F54">
      <w:r w:rsidRPr="00666F54">
        <w:t>A trained technician can interpret this information, inspect the equipment, and address the problem before it leads to failure. This approach not only prevents disruption but also improves efficiency by reducing the need for emergency repairs.</w:t>
      </w:r>
    </w:p>
    <w:p w14:paraId="7432CC8D" w14:textId="77777777" w:rsidR="00666F54" w:rsidRPr="00666F54" w:rsidRDefault="00666F54" w:rsidP="00666F54">
      <w:r w:rsidRPr="00666F54">
        <w:t xml:space="preserve">Technicians who develop these capabilities </w:t>
      </w:r>
      <w:proofErr w:type="gramStart"/>
      <w:r w:rsidRPr="00666F54">
        <w:t>are able to</w:t>
      </w:r>
      <w:proofErr w:type="gramEnd"/>
      <w:r w:rsidRPr="00666F54">
        <w:t xml:space="preserve"> identify issues earlier, respond more effectively, and manage a broader range of responsibilities within the facility.</w:t>
      </w:r>
    </w:p>
    <w:p w14:paraId="07496987" w14:textId="77777777" w:rsidR="00A73786" w:rsidRDefault="00A73786" w:rsidP="00666F54"/>
    <w:p w14:paraId="76913FA8" w14:textId="25D8CD06" w:rsidR="00666F54" w:rsidRPr="00666F54" w:rsidRDefault="00666F54" w:rsidP="00666F54">
      <w:r w:rsidRPr="00666F54">
        <w:rPr>
          <w:b/>
          <w:bCs/>
        </w:rPr>
        <w:lastRenderedPageBreak/>
        <w:t xml:space="preserve">Preparing for the </w:t>
      </w:r>
      <w:r w:rsidR="00A73786" w:rsidRPr="00666F54">
        <w:rPr>
          <w:b/>
          <w:bCs/>
        </w:rPr>
        <w:t xml:space="preserve">future of facility </w:t>
      </w:r>
      <w:r w:rsidR="00A73786">
        <w:rPr>
          <w:b/>
          <w:bCs/>
        </w:rPr>
        <w:t>maintenance and operations</w:t>
      </w:r>
    </w:p>
    <w:p w14:paraId="3D440778" w14:textId="77777777" w:rsidR="00666F54" w:rsidRPr="00666F54" w:rsidRDefault="00666F54" w:rsidP="00666F54">
      <w:r w:rsidRPr="00666F54">
        <w:t>Smart building technologies, robotics, and AI are becoming more common across the built environment. However, their effectiveness depends on the people who operate and manage them.</w:t>
      </w:r>
    </w:p>
    <w:p w14:paraId="75DF4EBF" w14:textId="77777777" w:rsidR="00666F54" w:rsidRPr="00666F54" w:rsidRDefault="00666F54" w:rsidP="00666F54">
      <w:r w:rsidRPr="00666F54">
        <w:t>Rather than replacing skilled professionals, these technologies serve as tools that enhance their capabilities. They enable teams to focus on higher-value tasks, improve system performance, and make more informed decisions.</w:t>
      </w:r>
    </w:p>
    <w:p w14:paraId="12DCF285" w14:textId="77777777" w:rsidR="00666F54" w:rsidRPr="00666F54" w:rsidRDefault="00666F54" w:rsidP="00666F54">
      <w:r w:rsidRPr="00666F54">
        <w:t>Despite this potential, many organizations have yet to fully invest in the training and development needed to support this transition. Addressing this gap requires a balanced approach: upskilling experienced professionals who understand existing systems, while also creating pathways for new talent to develop practical, hands-on expertise.</w:t>
      </w:r>
    </w:p>
    <w:p w14:paraId="032840AB" w14:textId="197D041A" w:rsidR="00947A45" w:rsidRPr="00666F54" w:rsidRDefault="00666F54" w:rsidP="00666F54">
      <w:r w:rsidRPr="00666F54">
        <w:t>Organizations that align technology adoption with workforce development are better positioned to realize the full value of their investments. In these environments, data and human expertise work together to improve operational performance, support occupant needs, and strengthen long-term asset management.</w:t>
      </w:r>
    </w:p>
    <w:p w14:paraId="4C09A5A8" w14:textId="77777777" w:rsidR="00666F54" w:rsidRPr="00666F54" w:rsidRDefault="00000000" w:rsidP="00666F54">
      <w:r>
        <w:pict w14:anchorId="1B9AD571">
          <v:rect id="_x0000_i1025" style="width:0;height:1.5pt" o:hralign="center" o:hrstd="t" o:hr="t" fillcolor="#a0a0a0" stroked="f"/>
        </w:pict>
      </w:r>
    </w:p>
    <w:p w14:paraId="2924FB05" w14:textId="77777777" w:rsidR="00666F54" w:rsidRPr="00666F54" w:rsidRDefault="00666F54" w:rsidP="00666F54">
      <w:pPr>
        <w:rPr>
          <w:b/>
          <w:bCs/>
        </w:rPr>
      </w:pPr>
      <w:r w:rsidRPr="00666F54">
        <w:rPr>
          <w:b/>
          <w:bCs/>
        </w:rPr>
        <w:t>About the Authors</w:t>
      </w:r>
    </w:p>
    <w:p w14:paraId="3E38758C" w14:textId="5E0CEC85" w:rsidR="00A73786" w:rsidRDefault="00B11AC7" w:rsidP="00A73786">
      <w:pPr>
        <w:rPr>
          <w:rFonts w:ascii="Open Sans" w:hAnsi="Open Sans" w:cs="Open Sans"/>
        </w:rPr>
      </w:pPr>
      <w:r>
        <w:rPr>
          <w:rFonts w:ascii="Open Sans" w:hAnsi="Open Sans" w:cs="Open Sans"/>
          <w:noProof/>
        </w:rPr>
        <w:drawing>
          <wp:inline distT="0" distB="0" distL="0" distR="0" wp14:anchorId="3F81FE5A" wp14:editId="24E2F5E2">
            <wp:extent cx="1148486" cy="1569099"/>
            <wp:effectExtent l="0" t="0" r="0" b="0"/>
            <wp:docPr id="1778374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7645" cy="1581613"/>
                    </a:xfrm>
                    <a:prstGeom prst="rect">
                      <a:avLst/>
                    </a:prstGeom>
                    <a:noFill/>
                    <a:ln>
                      <a:noFill/>
                    </a:ln>
                  </pic:spPr>
                </pic:pic>
              </a:graphicData>
            </a:graphic>
          </wp:inline>
        </w:drawing>
      </w:r>
    </w:p>
    <w:p w14:paraId="17024C43" w14:textId="42459713" w:rsidR="00A73786" w:rsidRPr="00A73786" w:rsidRDefault="00A73786" w:rsidP="00A73786">
      <w:pPr>
        <w:rPr>
          <w:rFonts w:ascii="ABM Sans" w:hAnsi="ABM Sans" w:cs="Open Sans"/>
          <w:sz w:val="20"/>
          <w:szCs w:val="20"/>
        </w:rPr>
      </w:pPr>
      <w:r w:rsidRPr="00A73786">
        <w:rPr>
          <w:rFonts w:ascii="ABM Sans" w:hAnsi="ABM Sans" w:cs="Open Sans"/>
          <w:b/>
          <w:bCs/>
          <w:sz w:val="20"/>
          <w:szCs w:val="20"/>
        </w:rPr>
        <w:t>Angela Johnson Culver, PE, PMP, MBA</w:t>
      </w:r>
      <w:r w:rsidRPr="00A73786">
        <w:rPr>
          <w:rFonts w:ascii="ABM Sans" w:hAnsi="ABM Sans" w:cs="Open Sans"/>
          <w:sz w:val="20"/>
          <w:szCs w:val="20"/>
        </w:rPr>
        <w:t xml:space="preserve"> is the Vice President of Solutioning at </w:t>
      </w:r>
      <w:hyperlink r:id="rId8" w:history="1">
        <w:r w:rsidRPr="00947A45">
          <w:rPr>
            <w:rStyle w:val="Hyperlink"/>
            <w:rFonts w:ascii="ABM Sans" w:hAnsi="ABM Sans" w:cs="Open Sans"/>
            <w:sz w:val="20"/>
            <w:szCs w:val="20"/>
          </w:rPr>
          <w:t>ABM Industries</w:t>
        </w:r>
      </w:hyperlink>
      <w:r w:rsidRPr="00A73786">
        <w:rPr>
          <w:rFonts w:ascii="ABM Sans" w:hAnsi="ABM Sans" w:cs="Open Sans"/>
          <w:sz w:val="20"/>
          <w:szCs w:val="20"/>
        </w:rPr>
        <w:t xml:space="preserve"> </w:t>
      </w:r>
      <w:r w:rsidR="00841CE3">
        <w:rPr>
          <w:rFonts w:ascii="ABM Sans" w:hAnsi="ABM Sans" w:cs="Open Sans"/>
          <w:sz w:val="20"/>
          <w:szCs w:val="20"/>
        </w:rPr>
        <w:t xml:space="preserve">and frequent contributor </w:t>
      </w:r>
      <w:r w:rsidR="006018AD">
        <w:rPr>
          <w:rFonts w:ascii="ABM Sans" w:hAnsi="ABM Sans" w:cs="Open Sans"/>
          <w:sz w:val="20"/>
          <w:szCs w:val="20"/>
        </w:rPr>
        <w:t xml:space="preserve">to </w:t>
      </w:r>
      <w:hyperlink r:id="rId9" w:history="1">
        <w:r w:rsidR="006018AD" w:rsidRPr="006018AD">
          <w:rPr>
            <w:rStyle w:val="Hyperlink"/>
            <w:rFonts w:ascii="ABM Sans" w:hAnsi="ABM Sans" w:cs="Open Sans"/>
            <w:sz w:val="20"/>
            <w:szCs w:val="20"/>
          </w:rPr>
          <w:t xml:space="preserve">ABM </w:t>
        </w:r>
        <w:r w:rsidR="006018AD" w:rsidRPr="006018AD">
          <w:rPr>
            <w:rStyle w:val="Hyperlink"/>
            <w:rFonts w:ascii="ABM Sans" w:hAnsi="ABM Sans" w:cs="Open Sans"/>
            <w:i/>
            <w:iCs/>
            <w:sz w:val="20"/>
            <w:szCs w:val="20"/>
          </w:rPr>
          <w:t>Perspectives</w:t>
        </w:r>
      </w:hyperlink>
      <w:r w:rsidR="006018AD">
        <w:rPr>
          <w:rFonts w:ascii="ABM Sans" w:hAnsi="ABM Sans" w:cs="Open Sans"/>
          <w:sz w:val="20"/>
          <w:szCs w:val="20"/>
        </w:rPr>
        <w:t>. S</w:t>
      </w:r>
      <w:r w:rsidRPr="00A73786">
        <w:rPr>
          <w:rFonts w:ascii="ABM Sans" w:hAnsi="ABM Sans" w:cs="Open Sans"/>
          <w:sz w:val="20"/>
          <w:szCs w:val="20"/>
        </w:rPr>
        <w:t>he leads the development of integrated facility strategies that align building performance with business outcomes. A licensed Professional (P.E.) Industrial Engineer and certified Project Manager with more than 20 years of experience spanning engineering, operations, and integrated facility management, Culver specializes in technology-enabled service delivery, portfolio optimization, and performance-driven workplace solutions across complex environments. Culver also serves as a Trustee for the IFMA Foundation, advancing the facility management profession through education, workforce development, and industry innovation.</w:t>
      </w:r>
    </w:p>
    <w:p w14:paraId="3C4A911D" w14:textId="77777777" w:rsidR="00A73786" w:rsidRPr="00A73786" w:rsidRDefault="00A73786" w:rsidP="00666F54">
      <w:pPr>
        <w:rPr>
          <w:rFonts w:ascii="ABM Sans" w:hAnsi="ABM Sans"/>
          <w:sz w:val="20"/>
          <w:szCs w:val="20"/>
        </w:rPr>
      </w:pPr>
    </w:p>
    <w:p w14:paraId="7072E662" w14:textId="59519275" w:rsidR="00B11AC7" w:rsidRDefault="00B11AC7" w:rsidP="00666F54">
      <w:pPr>
        <w:rPr>
          <w:rFonts w:ascii="ABM Sans" w:hAnsi="ABM Sans"/>
          <w:b/>
          <w:bCs/>
          <w:sz w:val="20"/>
          <w:szCs w:val="20"/>
        </w:rPr>
      </w:pPr>
      <w:r>
        <w:rPr>
          <w:rFonts w:ascii="ABM Sans" w:hAnsi="ABM Sans"/>
          <w:b/>
          <w:bCs/>
          <w:noProof/>
          <w:sz w:val="20"/>
          <w:szCs w:val="20"/>
        </w:rPr>
        <w:drawing>
          <wp:inline distT="0" distB="0" distL="0" distR="0" wp14:anchorId="19192E2C" wp14:editId="61B982FC">
            <wp:extent cx="1345997" cy="1345997"/>
            <wp:effectExtent l="0" t="0" r="6985" b="6985"/>
            <wp:docPr id="400315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1732" cy="1351732"/>
                    </a:xfrm>
                    <a:prstGeom prst="rect">
                      <a:avLst/>
                    </a:prstGeom>
                    <a:noFill/>
                    <a:ln>
                      <a:noFill/>
                    </a:ln>
                  </pic:spPr>
                </pic:pic>
              </a:graphicData>
            </a:graphic>
          </wp:inline>
        </w:drawing>
      </w:r>
    </w:p>
    <w:p w14:paraId="0ABEB241" w14:textId="6A1CDDB9" w:rsidR="00666F54" w:rsidRPr="00666F54" w:rsidRDefault="00666F54" w:rsidP="00666F54">
      <w:pPr>
        <w:rPr>
          <w:rFonts w:ascii="ABM Sans" w:hAnsi="ABM Sans"/>
          <w:sz w:val="20"/>
          <w:szCs w:val="20"/>
        </w:rPr>
      </w:pPr>
      <w:r w:rsidRPr="00666F54">
        <w:rPr>
          <w:rFonts w:ascii="ABM Sans" w:hAnsi="ABM Sans"/>
          <w:b/>
          <w:bCs/>
          <w:sz w:val="20"/>
          <w:szCs w:val="20"/>
        </w:rPr>
        <w:t>John Borden</w:t>
      </w:r>
      <w:r w:rsidRPr="00666F54">
        <w:rPr>
          <w:rFonts w:ascii="ABM Sans" w:hAnsi="ABM Sans"/>
          <w:sz w:val="20"/>
          <w:szCs w:val="20"/>
        </w:rPr>
        <w:t xml:space="preserve"> </w:t>
      </w:r>
      <w:r w:rsidR="00A73786">
        <w:rPr>
          <w:rFonts w:ascii="ABM Sans" w:hAnsi="ABM Sans"/>
          <w:sz w:val="20"/>
          <w:szCs w:val="20"/>
        </w:rPr>
        <w:t>is President of Engineering at ABM Industries….</w:t>
      </w:r>
      <w:r w:rsidRPr="00666F54">
        <w:rPr>
          <w:rFonts w:ascii="ABM Sans" w:hAnsi="ABM Sans"/>
          <w:sz w:val="20"/>
          <w:szCs w:val="20"/>
        </w:rPr>
        <w:t xml:space="preserve"> </w:t>
      </w:r>
    </w:p>
    <w:p w14:paraId="315B136B" w14:textId="77777777" w:rsidR="00666F54" w:rsidRDefault="00666F54"/>
    <w:sectPr w:rsidR="00666F5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13D1" w14:textId="77777777" w:rsidR="00710ED2" w:rsidRDefault="00710ED2" w:rsidP="00666F54">
      <w:pPr>
        <w:spacing w:after="0" w:line="240" w:lineRule="auto"/>
      </w:pPr>
      <w:r>
        <w:separator/>
      </w:r>
    </w:p>
  </w:endnote>
  <w:endnote w:type="continuationSeparator" w:id="0">
    <w:p w14:paraId="30A7279F" w14:textId="77777777" w:rsidR="00710ED2" w:rsidRDefault="00710ED2" w:rsidP="0066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BM Sans">
    <w:panose1 w:val="02010303040201060303"/>
    <w:charset w:val="00"/>
    <w:family w:val="auto"/>
    <w:pitch w:val="variable"/>
    <w:sig w:usb0="A000006F" w:usb1="4000006B" w:usb2="00000020" w:usb3="00000000" w:csb0="00000093" w:csb1="00000000"/>
  </w:font>
  <w:font w:name="ABM Sans Regular">
    <w:altName w:val="Calibri"/>
    <w:panose1 w:val="02010303040201060303"/>
    <w:charset w:val="00"/>
    <w:family w:val="auto"/>
    <w:notTrueType/>
    <w:pitch w:val="variable"/>
    <w:sig w:usb0="A000006F" w:usb1="4000006B" w:usb2="00000028" w:usb3="00000000" w:csb0="00000093" w:csb1="00000000"/>
  </w:font>
  <w:font w:name="ABM Sans SemiBold">
    <w:panose1 w:val="02010303040201060303"/>
    <w:charset w:val="00"/>
    <w:family w:val="auto"/>
    <w:pitch w:val="variable"/>
    <w:sig w:usb0="A000006F" w:usb1="4000006B" w:usb2="0000002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ADB6" w14:textId="77777777" w:rsidR="00710ED2" w:rsidRDefault="00710ED2" w:rsidP="00666F54">
      <w:pPr>
        <w:spacing w:after="0" w:line="240" w:lineRule="auto"/>
      </w:pPr>
      <w:r>
        <w:separator/>
      </w:r>
    </w:p>
  </w:footnote>
  <w:footnote w:type="continuationSeparator" w:id="0">
    <w:p w14:paraId="1E4868B2" w14:textId="77777777" w:rsidR="00710ED2" w:rsidRDefault="00710ED2" w:rsidP="0066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766" w14:textId="63B2CB73" w:rsidR="00666F54" w:rsidRPr="00CB618E" w:rsidRDefault="00666F54" w:rsidP="00666F54">
    <w:pPr>
      <w:spacing w:before="90"/>
      <w:ind w:right="-630"/>
      <w:jc w:val="right"/>
      <w:rPr>
        <w:rFonts w:cs="ABM Sans Regular"/>
        <w:color w:val="000000" w:themeColor="text1"/>
        <w:sz w:val="16"/>
        <w:szCs w:val="16"/>
      </w:rPr>
    </w:pPr>
    <w:r w:rsidRPr="00662F23">
      <w:rPr>
        <w:rFonts w:ascii="ABM Sans SemiBold" w:hAnsi="ABM Sans SemiBold" w:cs="ABM Sans SemiBold"/>
        <w:b/>
        <w:bCs/>
        <w:noProof/>
        <w:color w:val="000000" w:themeColor="text1"/>
        <w:sz w:val="16"/>
        <w:szCs w:val="16"/>
      </w:rPr>
      <w:drawing>
        <wp:anchor distT="0" distB="0" distL="114300" distR="114300" simplePos="0" relativeHeight="251659264" behindDoc="1" locked="0" layoutInCell="1" allowOverlap="1" wp14:anchorId="6C778698" wp14:editId="407371D3">
          <wp:simplePos x="0" y="0"/>
          <wp:positionH relativeFrom="column">
            <wp:posOffset>-914400</wp:posOffset>
          </wp:positionH>
          <wp:positionV relativeFrom="paragraph">
            <wp:posOffset>-435935</wp:posOffset>
          </wp:positionV>
          <wp:extent cx="7764056" cy="925033"/>
          <wp:effectExtent l="0" t="0" r="0" b="2540"/>
          <wp:wrapNone/>
          <wp:docPr id="1400420956" name="Picture 1400420956"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62757" name="Picture 1" descr="A white background with red and black text&#10;&#10;Description automatically generated"/>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765961" cy="925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BM Sans SemiBold" w:hAnsi="ABM Sans SemiBold" w:cs="ABM Sans SemiBold"/>
        <w:b/>
        <w:bCs/>
        <w:noProof/>
        <w:color w:val="000000" w:themeColor="text1"/>
        <w:sz w:val="16"/>
        <w:szCs w:val="16"/>
      </w:rPr>
      <w:t>Editorial</w:t>
    </w:r>
    <w:r w:rsidRPr="00CB618E">
      <w:rPr>
        <w:rFonts w:cs="ABM Sans Regular"/>
        <w:b/>
        <w:bCs/>
        <w:color w:val="000000" w:themeColor="text1"/>
        <w:sz w:val="16"/>
        <w:szCs w:val="16"/>
      </w:rPr>
      <w:br/>
    </w:r>
    <w:r w:rsidRPr="00CB618E">
      <w:rPr>
        <w:rFonts w:cs="ABM Sans Regular"/>
        <w:color w:val="000000" w:themeColor="text1"/>
        <w:sz w:val="16"/>
        <w:szCs w:val="16"/>
      </w:rPr>
      <w:t>4151 Ashford Dunwoody Rd.</w:t>
    </w:r>
    <w:r w:rsidRPr="00CB618E">
      <w:rPr>
        <w:rFonts w:cs="ABM Sans Regular"/>
        <w:color w:val="000000" w:themeColor="text1"/>
        <w:sz w:val="16"/>
        <w:szCs w:val="16"/>
      </w:rPr>
      <w:br/>
      <w:t>Suite 600</w:t>
    </w:r>
    <w:r w:rsidRPr="00CB618E">
      <w:rPr>
        <w:rFonts w:cs="ABM Sans Regular"/>
        <w:color w:val="000000" w:themeColor="text1"/>
        <w:sz w:val="16"/>
        <w:szCs w:val="16"/>
      </w:rPr>
      <w:br/>
      <w:t>Atlanta, GA 30319</w:t>
    </w:r>
  </w:p>
  <w:p w14:paraId="4FBE9011" w14:textId="77777777" w:rsidR="00666F54" w:rsidRDefault="00666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54"/>
    <w:rsid w:val="002A540E"/>
    <w:rsid w:val="006018AD"/>
    <w:rsid w:val="00666F54"/>
    <w:rsid w:val="00710ED2"/>
    <w:rsid w:val="00734B35"/>
    <w:rsid w:val="007564CD"/>
    <w:rsid w:val="00841CE3"/>
    <w:rsid w:val="00947A45"/>
    <w:rsid w:val="00A73786"/>
    <w:rsid w:val="00A815F5"/>
    <w:rsid w:val="00B1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AD1D"/>
  <w15:chartTrackingRefBased/>
  <w15:docId w15:val="{CBE4FE6D-689B-4AFE-8431-E94F8392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F54"/>
    <w:rPr>
      <w:rFonts w:eastAsiaTheme="majorEastAsia" w:cstheme="majorBidi"/>
      <w:color w:val="272727" w:themeColor="text1" w:themeTint="D8"/>
    </w:rPr>
  </w:style>
  <w:style w:type="paragraph" w:styleId="Title">
    <w:name w:val="Title"/>
    <w:basedOn w:val="Normal"/>
    <w:next w:val="Normal"/>
    <w:link w:val="TitleChar"/>
    <w:uiPriority w:val="10"/>
    <w:qFormat/>
    <w:rsid w:val="00666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F54"/>
    <w:pPr>
      <w:spacing w:before="160"/>
      <w:jc w:val="center"/>
    </w:pPr>
    <w:rPr>
      <w:i/>
      <w:iCs/>
      <w:color w:val="404040" w:themeColor="text1" w:themeTint="BF"/>
    </w:rPr>
  </w:style>
  <w:style w:type="character" w:customStyle="1" w:styleId="QuoteChar">
    <w:name w:val="Quote Char"/>
    <w:basedOn w:val="DefaultParagraphFont"/>
    <w:link w:val="Quote"/>
    <w:uiPriority w:val="29"/>
    <w:rsid w:val="00666F54"/>
    <w:rPr>
      <w:i/>
      <w:iCs/>
      <w:color w:val="404040" w:themeColor="text1" w:themeTint="BF"/>
    </w:rPr>
  </w:style>
  <w:style w:type="paragraph" w:styleId="ListParagraph">
    <w:name w:val="List Paragraph"/>
    <w:basedOn w:val="Normal"/>
    <w:uiPriority w:val="34"/>
    <w:qFormat/>
    <w:rsid w:val="00666F54"/>
    <w:pPr>
      <w:ind w:left="720"/>
      <w:contextualSpacing/>
    </w:pPr>
  </w:style>
  <w:style w:type="character" w:styleId="IntenseEmphasis">
    <w:name w:val="Intense Emphasis"/>
    <w:basedOn w:val="DefaultParagraphFont"/>
    <w:uiPriority w:val="21"/>
    <w:qFormat/>
    <w:rsid w:val="00666F54"/>
    <w:rPr>
      <w:i/>
      <w:iCs/>
      <w:color w:val="0F4761" w:themeColor="accent1" w:themeShade="BF"/>
    </w:rPr>
  </w:style>
  <w:style w:type="paragraph" w:styleId="IntenseQuote">
    <w:name w:val="Intense Quote"/>
    <w:basedOn w:val="Normal"/>
    <w:next w:val="Normal"/>
    <w:link w:val="IntenseQuoteChar"/>
    <w:uiPriority w:val="30"/>
    <w:qFormat/>
    <w:rsid w:val="00666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F54"/>
    <w:rPr>
      <w:i/>
      <w:iCs/>
      <w:color w:val="0F4761" w:themeColor="accent1" w:themeShade="BF"/>
    </w:rPr>
  </w:style>
  <w:style w:type="character" w:styleId="IntenseReference">
    <w:name w:val="Intense Reference"/>
    <w:basedOn w:val="DefaultParagraphFont"/>
    <w:uiPriority w:val="32"/>
    <w:qFormat/>
    <w:rsid w:val="00666F54"/>
    <w:rPr>
      <w:b/>
      <w:bCs/>
      <w:smallCaps/>
      <w:color w:val="0F4761" w:themeColor="accent1" w:themeShade="BF"/>
      <w:spacing w:val="5"/>
    </w:rPr>
  </w:style>
  <w:style w:type="paragraph" w:styleId="Header">
    <w:name w:val="header"/>
    <w:basedOn w:val="Normal"/>
    <w:link w:val="HeaderChar"/>
    <w:uiPriority w:val="99"/>
    <w:unhideWhenUsed/>
    <w:rsid w:val="0066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54"/>
  </w:style>
  <w:style w:type="paragraph" w:styleId="Footer">
    <w:name w:val="footer"/>
    <w:basedOn w:val="Normal"/>
    <w:link w:val="FooterChar"/>
    <w:uiPriority w:val="99"/>
    <w:unhideWhenUsed/>
    <w:rsid w:val="0066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54"/>
  </w:style>
  <w:style w:type="character" w:styleId="Hyperlink">
    <w:name w:val="Hyperlink"/>
    <w:basedOn w:val="DefaultParagraphFont"/>
    <w:uiPriority w:val="99"/>
    <w:unhideWhenUsed/>
    <w:rsid w:val="00947A45"/>
    <w:rPr>
      <w:color w:val="467886" w:themeColor="hyperlink"/>
      <w:u w:val="single"/>
    </w:rPr>
  </w:style>
  <w:style w:type="character" w:styleId="UnresolvedMention">
    <w:name w:val="Unresolved Mention"/>
    <w:basedOn w:val="DefaultParagraphFont"/>
    <w:uiPriority w:val="99"/>
    <w:semiHidden/>
    <w:unhideWhenUsed/>
    <w:rsid w:val="0094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m.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dcenter.abm.com/asset/f08fe291-353e-4004-9c9e-5da4912603b7/Web-Landscape/ABM-JAN-5812-robot.web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abm.com/perspec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e4a72ef-928b-45b6-a137-7ed7bb318678}" enabled="0" method="" siteId="{8e4a72ef-928b-45b6-a137-7ed7bb318678}"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ABM</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Ivins</dc:creator>
  <cp:keywords/>
  <dc:description/>
  <cp:lastModifiedBy>Julia Ivins</cp:lastModifiedBy>
  <cp:revision>8</cp:revision>
  <dcterms:created xsi:type="dcterms:W3CDTF">2026-05-12T20:45:00Z</dcterms:created>
  <dcterms:modified xsi:type="dcterms:W3CDTF">2026-05-12T21:17:00Z</dcterms:modified>
</cp:coreProperties>
</file>