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81961" w14:textId="77777777" w:rsidR="00854383" w:rsidRPr="00854383" w:rsidRDefault="00854383" w:rsidP="00854383">
      <w:pPr>
        <w:rPr>
          <w:rFonts w:ascii="Arial" w:eastAsia="Times New Roman" w:hAnsi="Arial" w:cs="Arial"/>
          <w:b/>
          <w:bCs/>
          <w:kern w:val="0"/>
          <w:sz w:val="40"/>
          <w:szCs w:val="40"/>
          <w14:ligatures w14:val="none"/>
        </w:rPr>
      </w:pPr>
      <w:r w:rsidRPr="00854383">
        <w:rPr>
          <w:rFonts w:ascii="Arial" w:eastAsia="Times New Roman" w:hAnsi="Arial" w:cs="Arial"/>
          <w:b/>
          <w:bCs/>
          <w:kern w:val="0"/>
          <w:sz w:val="40"/>
          <w:szCs w:val="40"/>
          <w14:ligatures w14:val="none"/>
        </w:rPr>
        <w:t>Understanding the Operational and Financial Risks of Arc Flash Incidents</w:t>
      </w:r>
    </w:p>
    <w:p w14:paraId="5E3A9DD9" w14:textId="77777777" w:rsidR="00854383" w:rsidRPr="007F11FD" w:rsidRDefault="00854383" w:rsidP="00854383">
      <w:pPr>
        <w:rPr>
          <w:rFonts w:ascii="Arial" w:eastAsia="Times New Roman" w:hAnsi="Arial" w:cs="Arial"/>
          <w:kern w:val="0"/>
          <w:sz w:val="24"/>
          <w14:ligatures w14:val="none"/>
        </w:rPr>
      </w:pPr>
    </w:p>
    <w:p w14:paraId="7C31C7B1" w14:textId="2F099D2D" w:rsidR="00B94E52" w:rsidRPr="00B94E52" w:rsidRDefault="00B94E52" w:rsidP="00854383">
      <w:pPr>
        <w:rPr>
          <w:rFonts w:ascii="Arial" w:eastAsia="Times New Roman" w:hAnsi="Arial" w:cs="Arial"/>
          <w:i/>
          <w:iCs/>
          <w:kern w:val="0"/>
          <w:sz w:val="24"/>
          <w14:ligatures w14:val="none"/>
        </w:rPr>
      </w:pPr>
      <w:r w:rsidRPr="00B94E52">
        <w:rPr>
          <w:rFonts w:ascii="Arial" w:eastAsia="Times New Roman" w:hAnsi="Arial" w:cs="Arial"/>
          <w:i/>
          <w:iCs/>
          <w:kern w:val="0"/>
          <w:sz w:val="24"/>
          <w14:ligatures w14:val="none"/>
        </w:rPr>
        <w:t xml:space="preserve">By </w:t>
      </w:r>
      <w:r w:rsidRPr="00B94E52">
        <w:rPr>
          <w:rFonts w:ascii="Arial" w:eastAsia="Times New Roman" w:hAnsi="Arial" w:cs="Arial"/>
          <w:i/>
          <w:iCs/>
          <w:kern w:val="0"/>
          <w:sz w:val="24"/>
          <w14:ligatures w14:val="none"/>
        </w:rPr>
        <w:t>Gene Hughes</w:t>
      </w:r>
      <w:r w:rsidRPr="00B94E52">
        <w:rPr>
          <w:rFonts w:ascii="Arial" w:eastAsia="Times New Roman" w:hAnsi="Arial" w:cs="Arial"/>
          <w:i/>
          <w:iCs/>
          <w:kern w:val="0"/>
          <w:sz w:val="24"/>
          <w14:ligatures w14:val="none"/>
        </w:rPr>
        <w:t xml:space="preserve">, </w:t>
      </w:r>
      <w:r w:rsidRPr="00B94E52">
        <w:rPr>
          <w:rFonts w:ascii="Arial" w:eastAsia="Times New Roman" w:hAnsi="Arial" w:cs="Arial"/>
          <w:i/>
          <w:iCs/>
          <w:kern w:val="0"/>
          <w:sz w:val="24"/>
          <w14:ligatures w14:val="none"/>
        </w:rPr>
        <w:t>General Manager, ABM Power Services, Southeas</w:t>
      </w:r>
      <w:r w:rsidRPr="00B94E52">
        <w:rPr>
          <w:rFonts w:ascii="Arial" w:eastAsia="Times New Roman" w:hAnsi="Arial" w:cs="Arial"/>
          <w:i/>
          <w:iCs/>
          <w:kern w:val="0"/>
          <w:sz w:val="24"/>
          <w14:ligatures w14:val="none"/>
        </w:rPr>
        <w:t>t</w:t>
      </w:r>
    </w:p>
    <w:p w14:paraId="597997B1" w14:textId="77777777" w:rsidR="00B94E52" w:rsidRDefault="00B94E52" w:rsidP="00854383">
      <w:pPr>
        <w:rPr>
          <w:rFonts w:ascii="Arial" w:eastAsia="Times New Roman" w:hAnsi="Arial" w:cs="Arial"/>
          <w:kern w:val="0"/>
          <w:sz w:val="24"/>
          <w14:ligatures w14:val="none"/>
        </w:rPr>
      </w:pPr>
    </w:p>
    <w:p w14:paraId="0072B028" w14:textId="77777777" w:rsidR="00B94E52" w:rsidRDefault="00B94E52" w:rsidP="00854383">
      <w:pPr>
        <w:rPr>
          <w:rFonts w:ascii="Arial" w:eastAsia="Times New Roman" w:hAnsi="Arial" w:cs="Arial"/>
          <w:kern w:val="0"/>
          <w:sz w:val="24"/>
          <w14:ligatures w14:val="none"/>
        </w:rPr>
      </w:pPr>
    </w:p>
    <w:p w14:paraId="5126A3E9" w14:textId="1DAC75D9" w:rsidR="00D553BD" w:rsidRPr="007F11FD" w:rsidRDefault="00854383" w:rsidP="00854383">
      <w:pPr>
        <w:rPr>
          <w:rFonts w:ascii="Arial" w:eastAsia="Times New Roman" w:hAnsi="Arial" w:cs="Arial"/>
          <w:kern w:val="0"/>
          <w:sz w:val="24"/>
          <w14:ligatures w14:val="none"/>
        </w:rPr>
      </w:pPr>
      <w:r w:rsidRPr="00854383">
        <w:rPr>
          <w:rFonts w:ascii="Arial" w:eastAsia="Times New Roman" w:hAnsi="Arial" w:cs="Arial"/>
          <w:kern w:val="0"/>
          <w:sz w:val="24"/>
          <w14:ligatures w14:val="none"/>
        </w:rPr>
        <w:t>Electrical hazards remain a critical concern in facility operations, with arc flash incidents representing one of the most severe and potentially disruptive risks in the built environment.</w:t>
      </w:r>
    </w:p>
    <w:p w14:paraId="6BBA872D" w14:textId="77777777" w:rsidR="00D553BD" w:rsidRPr="007F11FD" w:rsidRDefault="00D553BD" w:rsidP="00854383">
      <w:pPr>
        <w:rPr>
          <w:rFonts w:ascii="Arial" w:eastAsia="Times New Roman" w:hAnsi="Arial" w:cs="Arial"/>
          <w:kern w:val="0"/>
          <w:sz w:val="24"/>
          <w14:ligatures w14:val="none"/>
        </w:rPr>
      </w:pPr>
    </w:p>
    <w:p w14:paraId="1EE0A1F5" w14:textId="526AF15E" w:rsidR="00854383" w:rsidRPr="007F11FD" w:rsidRDefault="00854383" w:rsidP="00854383">
      <w:pPr>
        <w:rPr>
          <w:rFonts w:ascii="Arial" w:eastAsia="Times New Roman" w:hAnsi="Arial" w:cs="Arial"/>
          <w:kern w:val="0"/>
          <w:sz w:val="24"/>
          <w14:ligatures w14:val="none"/>
        </w:rPr>
      </w:pPr>
      <w:r w:rsidRPr="00854383">
        <w:rPr>
          <w:rFonts w:ascii="Arial" w:eastAsia="Times New Roman" w:hAnsi="Arial" w:cs="Arial"/>
          <w:kern w:val="0"/>
          <w:sz w:val="24"/>
          <w14:ligatures w14:val="none"/>
        </w:rPr>
        <w:t>An arc flash occurs when electrical current deviates from its intended path and travels through the air between conductors or to ground. This results in an explosive release of heat and light energy that can cause serious injury, equipment damage, and operational disruption. Common contributing factors include equipment failure, inadequate maintenance, human error, and insufficient training.</w:t>
      </w:r>
    </w:p>
    <w:p w14:paraId="60B2B9CC" w14:textId="77777777" w:rsidR="00D553BD" w:rsidRPr="00854383" w:rsidRDefault="00D553BD" w:rsidP="00854383">
      <w:pPr>
        <w:rPr>
          <w:rFonts w:ascii="Arial" w:eastAsia="Times New Roman" w:hAnsi="Arial" w:cs="Arial"/>
          <w:kern w:val="0"/>
          <w:sz w:val="24"/>
          <w14:ligatures w14:val="none"/>
        </w:rPr>
      </w:pPr>
    </w:p>
    <w:p w14:paraId="2AB1EEAD" w14:textId="7A28A19B" w:rsidR="00854383" w:rsidRPr="00854383" w:rsidRDefault="00854383" w:rsidP="00854383">
      <w:pPr>
        <w:rPr>
          <w:rFonts w:ascii="Arial" w:eastAsia="Times New Roman" w:hAnsi="Arial" w:cs="Arial"/>
          <w:kern w:val="0"/>
          <w:sz w:val="24"/>
          <w14:ligatures w14:val="none"/>
        </w:rPr>
      </w:pPr>
      <w:r w:rsidRPr="00854383">
        <w:rPr>
          <w:rFonts w:ascii="Arial" w:eastAsia="Times New Roman" w:hAnsi="Arial" w:cs="Arial"/>
          <w:kern w:val="0"/>
          <w:sz w:val="24"/>
          <w14:ligatures w14:val="none"/>
        </w:rPr>
        <w:t>Beyond immediate safety impacts, arc flash incidents can lead to unplanned downtime, damage to critical infrastructure, regulatory scrutiny, and significant financial consequences</w:t>
      </w:r>
      <w:r w:rsidR="005A1255" w:rsidRPr="007F11FD">
        <w:rPr>
          <w:rFonts w:ascii="Arial" w:eastAsia="Times New Roman" w:hAnsi="Arial" w:cs="Arial"/>
          <w:kern w:val="0"/>
          <w:sz w:val="24"/>
          <w14:ligatures w14:val="none"/>
        </w:rPr>
        <w:t xml:space="preserve">. </w:t>
      </w:r>
      <w:r w:rsidR="00C37FDF" w:rsidRPr="007F11FD">
        <w:rPr>
          <w:rFonts w:ascii="Arial" w:eastAsia="Times New Roman" w:hAnsi="Arial" w:cs="Arial"/>
          <w:kern w:val="0"/>
          <w:sz w:val="24"/>
          <w14:ligatures w14:val="none"/>
        </w:rPr>
        <w:t>This makes</w:t>
      </w:r>
      <w:r w:rsidRPr="00854383">
        <w:rPr>
          <w:rFonts w:ascii="Arial" w:eastAsia="Times New Roman" w:hAnsi="Arial" w:cs="Arial"/>
          <w:kern w:val="0"/>
          <w:sz w:val="24"/>
          <w14:ligatures w14:val="none"/>
        </w:rPr>
        <w:t xml:space="preserve"> prevention a key priority for facility management professionals.</w:t>
      </w:r>
    </w:p>
    <w:p w14:paraId="7E7C9609" w14:textId="77E2684C" w:rsidR="00CB618E" w:rsidRPr="007F11FD" w:rsidRDefault="00CB618E" w:rsidP="00854383">
      <w:pPr>
        <w:rPr>
          <w:rFonts w:ascii="Arial" w:hAnsi="Arial" w:cs="Arial"/>
          <w:sz w:val="24"/>
        </w:rPr>
      </w:pPr>
    </w:p>
    <w:p w14:paraId="49F93E18" w14:textId="1055B4E2" w:rsidR="0074109C" w:rsidRPr="0074109C" w:rsidRDefault="0074109C" w:rsidP="0074109C">
      <w:pPr>
        <w:rPr>
          <w:rFonts w:ascii="Arial" w:hAnsi="Arial" w:cs="Arial"/>
          <w:b/>
          <w:bCs/>
          <w:sz w:val="24"/>
        </w:rPr>
      </w:pPr>
      <w:r w:rsidRPr="0074109C">
        <w:rPr>
          <w:rFonts w:ascii="Arial" w:hAnsi="Arial" w:cs="Arial"/>
          <w:b/>
          <w:bCs/>
          <w:sz w:val="24"/>
        </w:rPr>
        <w:t xml:space="preserve">NFPA 70E and </w:t>
      </w:r>
      <w:r w:rsidR="007F11FD">
        <w:rPr>
          <w:rFonts w:ascii="Arial" w:hAnsi="Arial" w:cs="Arial"/>
          <w:b/>
          <w:bCs/>
          <w:sz w:val="24"/>
        </w:rPr>
        <w:t>i</w:t>
      </w:r>
      <w:r w:rsidRPr="0074109C">
        <w:rPr>
          <w:rFonts w:ascii="Arial" w:hAnsi="Arial" w:cs="Arial"/>
          <w:b/>
          <w:bCs/>
          <w:sz w:val="24"/>
        </w:rPr>
        <w:t>ts Role in Electrical Safety</w:t>
      </w:r>
    </w:p>
    <w:p w14:paraId="79CFF542" w14:textId="77777777" w:rsidR="0074109C" w:rsidRPr="0074109C" w:rsidRDefault="0074109C" w:rsidP="0074109C">
      <w:pPr>
        <w:rPr>
          <w:rFonts w:ascii="Arial" w:hAnsi="Arial" w:cs="Arial"/>
          <w:sz w:val="24"/>
        </w:rPr>
      </w:pPr>
      <w:r w:rsidRPr="0074109C">
        <w:rPr>
          <w:rFonts w:ascii="Arial" w:hAnsi="Arial" w:cs="Arial"/>
          <w:sz w:val="24"/>
        </w:rPr>
        <w:t>NFPA 70E is widely recognized as a leading standard for electrical safety in the workplace. While it is not directly enforced as regulation, it is frequently used as a benchmark in evaluating workplace safety practices.</w:t>
      </w:r>
    </w:p>
    <w:p w14:paraId="3A00DD50" w14:textId="77777777" w:rsidR="0074109C" w:rsidRPr="0074109C" w:rsidRDefault="0074109C" w:rsidP="0074109C">
      <w:pPr>
        <w:rPr>
          <w:rFonts w:ascii="Arial" w:hAnsi="Arial" w:cs="Arial"/>
          <w:sz w:val="24"/>
        </w:rPr>
      </w:pPr>
      <w:r w:rsidRPr="0074109C">
        <w:rPr>
          <w:rFonts w:ascii="Arial" w:hAnsi="Arial" w:cs="Arial"/>
          <w:sz w:val="24"/>
        </w:rPr>
        <w:t>Aligning with NFPA 70E guidelines can help organizations:</w:t>
      </w:r>
    </w:p>
    <w:p w14:paraId="4E37151C" w14:textId="77777777" w:rsidR="0074109C" w:rsidRPr="0074109C" w:rsidRDefault="0074109C" w:rsidP="0074109C">
      <w:pPr>
        <w:numPr>
          <w:ilvl w:val="0"/>
          <w:numId w:val="8"/>
        </w:numPr>
        <w:rPr>
          <w:rFonts w:ascii="Arial" w:hAnsi="Arial" w:cs="Arial"/>
          <w:sz w:val="24"/>
        </w:rPr>
      </w:pPr>
      <w:r w:rsidRPr="0074109C">
        <w:rPr>
          <w:rFonts w:ascii="Arial" w:hAnsi="Arial" w:cs="Arial"/>
          <w:sz w:val="24"/>
        </w:rPr>
        <w:t xml:space="preserve">Improve worker safety and reduce exposure to electrical hazards </w:t>
      </w:r>
    </w:p>
    <w:p w14:paraId="3231C537" w14:textId="77777777" w:rsidR="0074109C" w:rsidRPr="0074109C" w:rsidRDefault="0074109C" w:rsidP="0074109C">
      <w:pPr>
        <w:numPr>
          <w:ilvl w:val="0"/>
          <w:numId w:val="8"/>
        </w:numPr>
        <w:rPr>
          <w:rFonts w:ascii="Arial" w:hAnsi="Arial" w:cs="Arial"/>
          <w:sz w:val="24"/>
        </w:rPr>
      </w:pPr>
      <w:r w:rsidRPr="0074109C">
        <w:rPr>
          <w:rFonts w:ascii="Arial" w:hAnsi="Arial" w:cs="Arial"/>
          <w:sz w:val="24"/>
        </w:rPr>
        <w:t xml:space="preserve">Support compliance with workplace safety expectations </w:t>
      </w:r>
    </w:p>
    <w:p w14:paraId="3A6793FD" w14:textId="77777777" w:rsidR="0074109C" w:rsidRPr="0074109C" w:rsidRDefault="0074109C" w:rsidP="0074109C">
      <w:pPr>
        <w:numPr>
          <w:ilvl w:val="0"/>
          <w:numId w:val="8"/>
        </w:numPr>
        <w:rPr>
          <w:rFonts w:ascii="Arial" w:hAnsi="Arial" w:cs="Arial"/>
          <w:sz w:val="24"/>
        </w:rPr>
      </w:pPr>
      <w:r w:rsidRPr="0074109C">
        <w:rPr>
          <w:rFonts w:ascii="Arial" w:hAnsi="Arial" w:cs="Arial"/>
          <w:sz w:val="24"/>
        </w:rPr>
        <w:t xml:space="preserve">Protect critical assets and infrastructure </w:t>
      </w:r>
    </w:p>
    <w:p w14:paraId="32A535EA" w14:textId="77777777" w:rsidR="0074109C" w:rsidRPr="0074109C" w:rsidRDefault="0074109C" w:rsidP="0074109C">
      <w:pPr>
        <w:numPr>
          <w:ilvl w:val="0"/>
          <w:numId w:val="8"/>
        </w:numPr>
        <w:rPr>
          <w:rFonts w:ascii="Arial" w:hAnsi="Arial" w:cs="Arial"/>
          <w:sz w:val="24"/>
        </w:rPr>
      </w:pPr>
      <w:r w:rsidRPr="0074109C">
        <w:rPr>
          <w:rFonts w:ascii="Arial" w:hAnsi="Arial" w:cs="Arial"/>
          <w:sz w:val="24"/>
        </w:rPr>
        <w:t>Reduce the likelihood of costly incidents and operational disruption</w:t>
      </w:r>
    </w:p>
    <w:p w14:paraId="73BF0CE5" w14:textId="77777777" w:rsidR="0074109C" w:rsidRPr="007F11FD" w:rsidRDefault="0074109C" w:rsidP="00854383">
      <w:pPr>
        <w:rPr>
          <w:rFonts w:ascii="Arial" w:hAnsi="Arial" w:cs="Arial"/>
          <w:sz w:val="24"/>
        </w:rPr>
      </w:pPr>
    </w:p>
    <w:p w14:paraId="31C6B5A3" w14:textId="77777777" w:rsidR="007841CE" w:rsidRPr="007841CE" w:rsidRDefault="007841CE" w:rsidP="007841CE">
      <w:pPr>
        <w:rPr>
          <w:rFonts w:ascii="Arial" w:hAnsi="Arial" w:cs="Arial"/>
          <w:b/>
          <w:bCs/>
          <w:sz w:val="24"/>
        </w:rPr>
      </w:pPr>
      <w:r w:rsidRPr="007841CE">
        <w:rPr>
          <w:rFonts w:ascii="Arial" w:hAnsi="Arial" w:cs="Arial"/>
          <w:b/>
          <w:bCs/>
          <w:sz w:val="24"/>
        </w:rPr>
        <w:t>Understanding the Scope of Risk</w:t>
      </w:r>
    </w:p>
    <w:p w14:paraId="2F330189" w14:textId="77777777" w:rsidR="007841CE" w:rsidRPr="007841CE" w:rsidRDefault="007841CE" w:rsidP="007841CE">
      <w:pPr>
        <w:rPr>
          <w:rFonts w:ascii="Arial" w:hAnsi="Arial" w:cs="Arial"/>
          <w:sz w:val="24"/>
        </w:rPr>
      </w:pPr>
      <w:r w:rsidRPr="007841CE">
        <w:rPr>
          <w:rFonts w:ascii="Arial" w:hAnsi="Arial" w:cs="Arial"/>
          <w:sz w:val="24"/>
        </w:rPr>
        <w:t>Arc flash incidents continue to impact facilities across industries. Available industry data indicates:</w:t>
      </w:r>
    </w:p>
    <w:p w14:paraId="52CEBE02" w14:textId="77777777" w:rsidR="007841CE" w:rsidRPr="007841CE" w:rsidRDefault="007841CE" w:rsidP="007841CE">
      <w:pPr>
        <w:numPr>
          <w:ilvl w:val="0"/>
          <w:numId w:val="9"/>
        </w:numPr>
        <w:rPr>
          <w:rFonts w:ascii="Arial" w:hAnsi="Arial" w:cs="Arial"/>
          <w:sz w:val="24"/>
        </w:rPr>
      </w:pPr>
      <w:r w:rsidRPr="007841CE">
        <w:rPr>
          <w:rFonts w:ascii="Arial" w:hAnsi="Arial" w:cs="Arial"/>
          <w:sz w:val="24"/>
        </w:rPr>
        <w:t xml:space="preserve">Arc flash events occur regularly, resulting in thousands of workplace injuries each year </w:t>
      </w:r>
    </w:p>
    <w:p w14:paraId="605C3960" w14:textId="77777777" w:rsidR="007841CE" w:rsidRPr="007841CE" w:rsidRDefault="007841CE" w:rsidP="007841CE">
      <w:pPr>
        <w:numPr>
          <w:ilvl w:val="0"/>
          <w:numId w:val="9"/>
        </w:numPr>
        <w:rPr>
          <w:rFonts w:ascii="Arial" w:hAnsi="Arial" w:cs="Arial"/>
          <w:sz w:val="24"/>
        </w:rPr>
      </w:pPr>
      <w:r w:rsidRPr="007841CE">
        <w:rPr>
          <w:rFonts w:ascii="Arial" w:hAnsi="Arial" w:cs="Arial"/>
          <w:sz w:val="24"/>
        </w:rPr>
        <w:t xml:space="preserve">The total cost of a single incident can reach into the millions when accounting for medical care, equipment damage, downtime, and legal exposure </w:t>
      </w:r>
    </w:p>
    <w:p w14:paraId="4D12123C" w14:textId="77777777" w:rsidR="007841CE" w:rsidRPr="007841CE" w:rsidRDefault="007841CE" w:rsidP="007841CE">
      <w:pPr>
        <w:numPr>
          <w:ilvl w:val="0"/>
          <w:numId w:val="9"/>
        </w:numPr>
        <w:rPr>
          <w:rFonts w:ascii="Arial" w:hAnsi="Arial" w:cs="Arial"/>
          <w:sz w:val="24"/>
        </w:rPr>
      </w:pPr>
      <w:r w:rsidRPr="007841CE">
        <w:rPr>
          <w:rFonts w:ascii="Arial" w:hAnsi="Arial" w:cs="Arial"/>
          <w:sz w:val="24"/>
        </w:rPr>
        <w:t xml:space="preserve">Operational disruption can extend beyond the initial event, affecting productivity and business continuity </w:t>
      </w:r>
    </w:p>
    <w:p w14:paraId="49525306" w14:textId="77777777" w:rsidR="007841CE" w:rsidRPr="007841CE" w:rsidRDefault="007841CE" w:rsidP="007841CE">
      <w:pPr>
        <w:rPr>
          <w:rFonts w:ascii="Arial" w:hAnsi="Arial" w:cs="Arial"/>
          <w:sz w:val="24"/>
        </w:rPr>
      </w:pPr>
      <w:r w:rsidRPr="007841CE">
        <w:rPr>
          <w:rFonts w:ascii="Arial" w:hAnsi="Arial" w:cs="Arial"/>
          <w:sz w:val="24"/>
        </w:rPr>
        <w:lastRenderedPageBreak/>
        <w:t>For facility managers, these risks highlight the importance of integrating electrical safety into broader risk management and operational planning strategies.</w:t>
      </w:r>
    </w:p>
    <w:p w14:paraId="243DFBBE" w14:textId="77777777" w:rsidR="007841CE" w:rsidRPr="007F11FD" w:rsidRDefault="007841CE" w:rsidP="00854383">
      <w:pPr>
        <w:rPr>
          <w:rFonts w:ascii="Arial" w:hAnsi="Arial" w:cs="Arial"/>
          <w:sz w:val="24"/>
        </w:rPr>
      </w:pPr>
    </w:p>
    <w:p w14:paraId="244EF5BD" w14:textId="77777777" w:rsidR="007841CE" w:rsidRPr="007841CE" w:rsidRDefault="007841CE" w:rsidP="007841CE">
      <w:pPr>
        <w:rPr>
          <w:rFonts w:ascii="Arial" w:hAnsi="Arial" w:cs="Arial"/>
          <w:b/>
          <w:bCs/>
          <w:sz w:val="24"/>
        </w:rPr>
      </w:pPr>
      <w:r w:rsidRPr="007841CE">
        <w:rPr>
          <w:rFonts w:ascii="Arial" w:hAnsi="Arial" w:cs="Arial"/>
          <w:b/>
          <w:bCs/>
          <w:sz w:val="24"/>
        </w:rPr>
        <w:t>Core Elements of an Effective Electrical Safety Program</w:t>
      </w:r>
    </w:p>
    <w:p w14:paraId="04361A06" w14:textId="77777777" w:rsidR="007841CE" w:rsidRDefault="007841CE" w:rsidP="007841CE">
      <w:pPr>
        <w:rPr>
          <w:rFonts w:ascii="Arial" w:hAnsi="Arial" w:cs="Arial"/>
          <w:sz w:val="24"/>
        </w:rPr>
      </w:pPr>
      <w:r w:rsidRPr="007841CE">
        <w:rPr>
          <w:rFonts w:ascii="Arial" w:hAnsi="Arial" w:cs="Arial"/>
          <w:sz w:val="24"/>
        </w:rPr>
        <w:t>A comprehensive electrical safety program plays a central role in mitigating arc flash risk. Key components include:</w:t>
      </w:r>
    </w:p>
    <w:p w14:paraId="675BC661" w14:textId="77777777" w:rsidR="006556A1" w:rsidRPr="007841CE" w:rsidRDefault="006556A1" w:rsidP="007841CE">
      <w:pPr>
        <w:rPr>
          <w:rFonts w:ascii="Arial" w:hAnsi="Arial" w:cs="Arial"/>
          <w:sz w:val="24"/>
        </w:rPr>
      </w:pPr>
    </w:p>
    <w:p w14:paraId="2A90FACC" w14:textId="77777777" w:rsidR="007841CE" w:rsidRPr="007841CE" w:rsidRDefault="007841CE" w:rsidP="007841CE">
      <w:pPr>
        <w:rPr>
          <w:rFonts w:ascii="Arial" w:hAnsi="Arial" w:cs="Arial"/>
          <w:sz w:val="24"/>
        </w:rPr>
      </w:pPr>
      <w:r w:rsidRPr="007841CE">
        <w:rPr>
          <w:rFonts w:ascii="Arial" w:hAnsi="Arial" w:cs="Arial"/>
          <w:b/>
          <w:bCs/>
          <w:sz w:val="24"/>
        </w:rPr>
        <w:t>1. Defined safety policies and procedures</w:t>
      </w:r>
      <w:r w:rsidRPr="007841CE">
        <w:rPr>
          <w:rFonts w:ascii="Arial" w:hAnsi="Arial" w:cs="Arial"/>
          <w:sz w:val="24"/>
        </w:rPr>
        <w:br/>
        <w:t>Establish a formal program that outlines safe work practices, responsibilities, and compliance expectations.</w:t>
      </w:r>
    </w:p>
    <w:p w14:paraId="16F23ACE" w14:textId="77777777" w:rsidR="007841CE" w:rsidRPr="007841CE" w:rsidRDefault="007841CE" w:rsidP="007841CE">
      <w:pPr>
        <w:rPr>
          <w:rFonts w:ascii="Arial" w:hAnsi="Arial" w:cs="Arial"/>
          <w:sz w:val="24"/>
        </w:rPr>
      </w:pPr>
      <w:r w:rsidRPr="007841CE">
        <w:rPr>
          <w:rFonts w:ascii="Arial" w:hAnsi="Arial" w:cs="Arial"/>
          <w:b/>
          <w:bCs/>
          <w:sz w:val="24"/>
        </w:rPr>
        <w:t>2. Arc flash risk assessments</w:t>
      </w:r>
      <w:r w:rsidRPr="007841CE">
        <w:rPr>
          <w:rFonts w:ascii="Arial" w:hAnsi="Arial" w:cs="Arial"/>
          <w:sz w:val="24"/>
        </w:rPr>
        <w:br/>
        <w:t>Conduct regular evaluations to identify hazards, supported by accurate system documentation and clearly labeled equipment.</w:t>
      </w:r>
    </w:p>
    <w:p w14:paraId="65C6AA61" w14:textId="77777777" w:rsidR="007841CE" w:rsidRPr="007841CE" w:rsidRDefault="007841CE" w:rsidP="007841CE">
      <w:pPr>
        <w:rPr>
          <w:rFonts w:ascii="Arial" w:hAnsi="Arial" w:cs="Arial"/>
          <w:sz w:val="24"/>
        </w:rPr>
      </w:pPr>
      <w:r w:rsidRPr="007841CE">
        <w:rPr>
          <w:rFonts w:ascii="Arial" w:hAnsi="Arial" w:cs="Arial"/>
          <w:b/>
          <w:bCs/>
          <w:sz w:val="24"/>
        </w:rPr>
        <w:t>3. Workforce training and qualification</w:t>
      </w:r>
      <w:r w:rsidRPr="007841CE">
        <w:rPr>
          <w:rFonts w:ascii="Arial" w:hAnsi="Arial" w:cs="Arial"/>
          <w:sz w:val="24"/>
        </w:rPr>
        <w:br/>
        <w:t>Ensure personnel are trained to recognize electrical risks and are qualified to perform tasks safely.</w:t>
      </w:r>
    </w:p>
    <w:p w14:paraId="11833843" w14:textId="77777777" w:rsidR="007841CE" w:rsidRPr="007841CE" w:rsidRDefault="007841CE" w:rsidP="007841CE">
      <w:pPr>
        <w:rPr>
          <w:rFonts w:ascii="Arial" w:hAnsi="Arial" w:cs="Arial"/>
          <w:sz w:val="24"/>
        </w:rPr>
      </w:pPr>
      <w:r w:rsidRPr="007841CE">
        <w:rPr>
          <w:rFonts w:ascii="Arial" w:hAnsi="Arial" w:cs="Arial"/>
          <w:b/>
          <w:bCs/>
          <w:sz w:val="24"/>
        </w:rPr>
        <w:t>4. Protective equipment and tools</w:t>
      </w:r>
      <w:r w:rsidRPr="007841CE">
        <w:rPr>
          <w:rFonts w:ascii="Arial" w:hAnsi="Arial" w:cs="Arial"/>
          <w:sz w:val="24"/>
        </w:rPr>
        <w:br/>
        <w:t>Provide appropriate personal protective equipment (PPE), insulated tools, and voltage-rated devices.</w:t>
      </w:r>
    </w:p>
    <w:p w14:paraId="721220D4" w14:textId="77777777" w:rsidR="007841CE" w:rsidRPr="007841CE" w:rsidRDefault="007841CE" w:rsidP="007841CE">
      <w:pPr>
        <w:rPr>
          <w:rFonts w:ascii="Arial" w:hAnsi="Arial" w:cs="Arial"/>
          <w:sz w:val="24"/>
        </w:rPr>
      </w:pPr>
      <w:r w:rsidRPr="007841CE">
        <w:rPr>
          <w:rFonts w:ascii="Arial" w:hAnsi="Arial" w:cs="Arial"/>
          <w:b/>
          <w:bCs/>
          <w:sz w:val="24"/>
        </w:rPr>
        <w:t>5. Preventive maintenance programs</w:t>
      </w:r>
      <w:r w:rsidRPr="007841CE">
        <w:rPr>
          <w:rFonts w:ascii="Arial" w:hAnsi="Arial" w:cs="Arial"/>
          <w:sz w:val="24"/>
        </w:rPr>
        <w:br/>
        <w:t>Maintain equipment proactively to reduce the likelihood of failure and associated hazards.</w:t>
      </w:r>
    </w:p>
    <w:p w14:paraId="3C825196" w14:textId="77777777" w:rsidR="007841CE" w:rsidRPr="007841CE" w:rsidRDefault="007841CE" w:rsidP="007841CE">
      <w:pPr>
        <w:rPr>
          <w:rFonts w:ascii="Arial" w:hAnsi="Arial" w:cs="Arial"/>
          <w:sz w:val="24"/>
        </w:rPr>
      </w:pPr>
      <w:r w:rsidRPr="007841CE">
        <w:rPr>
          <w:rFonts w:ascii="Arial" w:hAnsi="Arial" w:cs="Arial"/>
          <w:b/>
          <w:bCs/>
          <w:sz w:val="24"/>
        </w:rPr>
        <w:t>6. Engineering controls and mitigation strategies</w:t>
      </w:r>
      <w:r w:rsidRPr="007841CE">
        <w:rPr>
          <w:rFonts w:ascii="Arial" w:hAnsi="Arial" w:cs="Arial"/>
          <w:sz w:val="24"/>
        </w:rPr>
        <w:br/>
        <w:t>Incorporate system design solutions that reduce hazard exposure, such as protective devices and equipment upgrades.</w:t>
      </w:r>
    </w:p>
    <w:p w14:paraId="6E80C8F9" w14:textId="77777777" w:rsidR="007841CE" w:rsidRPr="007841CE" w:rsidRDefault="007841CE" w:rsidP="007841CE">
      <w:pPr>
        <w:rPr>
          <w:rFonts w:ascii="Arial" w:hAnsi="Arial" w:cs="Arial"/>
          <w:sz w:val="24"/>
        </w:rPr>
      </w:pPr>
      <w:r w:rsidRPr="007841CE">
        <w:rPr>
          <w:rFonts w:ascii="Arial" w:hAnsi="Arial" w:cs="Arial"/>
          <w:b/>
          <w:bCs/>
          <w:sz w:val="24"/>
        </w:rPr>
        <w:t>7. Continuous improvement and program updates</w:t>
      </w:r>
      <w:r w:rsidRPr="007841CE">
        <w:rPr>
          <w:rFonts w:ascii="Arial" w:hAnsi="Arial" w:cs="Arial"/>
          <w:sz w:val="24"/>
        </w:rPr>
        <w:br/>
        <w:t>Regularly review and update safety practices to reflect operational changes and evolving standards.</w:t>
      </w:r>
    </w:p>
    <w:p w14:paraId="05741B23" w14:textId="77777777" w:rsidR="007841CE" w:rsidRPr="007F11FD" w:rsidRDefault="007841CE" w:rsidP="00854383">
      <w:pPr>
        <w:rPr>
          <w:rFonts w:ascii="Arial" w:hAnsi="Arial" w:cs="Arial"/>
          <w:sz w:val="24"/>
        </w:rPr>
      </w:pPr>
    </w:p>
    <w:p w14:paraId="25EC25B9" w14:textId="77777777" w:rsidR="007841CE" w:rsidRPr="007841CE" w:rsidRDefault="007841CE" w:rsidP="007841CE">
      <w:pPr>
        <w:rPr>
          <w:rFonts w:ascii="Arial" w:hAnsi="Arial" w:cs="Arial"/>
          <w:b/>
          <w:bCs/>
          <w:sz w:val="24"/>
        </w:rPr>
      </w:pPr>
      <w:r w:rsidRPr="007841CE">
        <w:rPr>
          <w:rFonts w:ascii="Arial" w:hAnsi="Arial" w:cs="Arial"/>
          <w:b/>
          <w:bCs/>
          <w:sz w:val="24"/>
        </w:rPr>
        <w:t>Applying Electrical Safety Practices in Facility Operations</w:t>
      </w:r>
    </w:p>
    <w:p w14:paraId="6F6FE313" w14:textId="77777777" w:rsidR="007841CE" w:rsidRDefault="007841CE" w:rsidP="007841CE">
      <w:pPr>
        <w:rPr>
          <w:rFonts w:ascii="Arial" w:hAnsi="Arial" w:cs="Arial"/>
          <w:sz w:val="24"/>
        </w:rPr>
      </w:pPr>
      <w:r w:rsidRPr="007841CE">
        <w:rPr>
          <w:rFonts w:ascii="Arial" w:hAnsi="Arial" w:cs="Arial"/>
          <w:sz w:val="24"/>
        </w:rPr>
        <w:t>Arc flash incidents are largely preventable when organizations take a proactive and structured approach to electrical safety. Integrating established standards, ongoing training, and preventive maintenance into daily operations can significantly reduce both safety risks and operational disruptions.</w:t>
      </w:r>
    </w:p>
    <w:p w14:paraId="05104F72" w14:textId="77777777" w:rsidR="00421C55" w:rsidRPr="007841CE" w:rsidRDefault="00421C55" w:rsidP="007841CE">
      <w:pPr>
        <w:rPr>
          <w:rFonts w:ascii="Arial" w:hAnsi="Arial" w:cs="Arial"/>
          <w:sz w:val="24"/>
        </w:rPr>
      </w:pPr>
    </w:p>
    <w:p w14:paraId="32674AF0" w14:textId="77777777" w:rsidR="007841CE" w:rsidRPr="007841CE" w:rsidRDefault="007841CE" w:rsidP="007841CE">
      <w:pPr>
        <w:rPr>
          <w:rFonts w:ascii="Arial" w:hAnsi="Arial" w:cs="Arial"/>
          <w:sz w:val="24"/>
        </w:rPr>
      </w:pPr>
      <w:r w:rsidRPr="007841CE">
        <w:rPr>
          <w:rFonts w:ascii="Arial" w:hAnsi="Arial" w:cs="Arial"/>
          <w:sz w:val="24"/>
        </w:rPr>
        <w:t>For facility management professionals, prioritizing electrical safety is essential to maintaining safe environments, protecting assets, and supporting long-term operational resilience.</w:t>
      </w:r>
    </w:p>
    <w:p w14:paraId="0A7B29B4" w14:textId="77777777" w:rsidR="007841CE" w:rsidRPr="007F11FD" w:rsidRDefault="007841CE" w:rsidP="00854383">
      <w:pPr>
        <w:rPr>
          <w:rFonts w:ascii="Arial" w:hAnsi="Arial" w:cs="Arial"/>
          <w:sz w:val="24"/>
        </w:rPr>
      </w:pPr>
    </w:p>
    <w:p w14:paraId="78E39AD2" w14:textId="77777777" w:rsidR="007841CE" w:rsidRPr="007841CE" w:rsidRDefault="007841CE" w:rsidP="007841CE">
      <w:pPr>
        <w:rPr>
          <w:rFonts w:ascii="Arial" w:hAnsi="Arial" w:cs="Arial"/>
          <w:b/>
          <w:bCs/>
          <w:sz w:val="24"/>
        </w:rPr>
      </w:pPr>
      <w:r w:rsidRPr="007841CE">
        <w:rPr>
          <w:rFonts w:ascii="Arial" w:hAnsi="Arial" w:cs="Arial"/>
          <w:b/>
          <w:bCs/>
          <w:sz w:val="24"/>
        </w:rPr>
        <w:t>About the Contributor</w:t>
      </w:r>
    </w:p>
    <w:p w14:paraId="40808762" w14:textId="345858D9" w:rsidR="007841CE" w:rsidRPr="007F11FD" w:rsidRDefault="00B94E52" w:rsidP="00B94E52">
      <w:pPr>
        <w:rPr>
          <w:rFonts w:ascii="Arial" w:hAnsi="Arial" w:cs="Arial"/>
          <w:sz w:val="24"/>
        </w:rPr>
      </w:pPr>
      <w:r w:rsidRPr="00B94E52">
        <w:rPr>
          <w:rFonts w:ascii="Arial" w:eastAsia="Times New Roman" w:hAnsi="Arial" w:cs="Arial"/>
          <w:i/>
          <w:iCs/>
          <w:kern w:val="0"/>
          <w:sz w:val="24"/>
          <w14:ligatures w14:val="none"/>
        </w:rPr>
        <w:t>Gene Hughes, General Manager, ABM Power Services, Southeast</w:t>
      </w:r>
    </w:p>
    <w:sectPr w:rsidR="007841CE" w:rsidRPr="007F11FD" w:rsidSect="004E1CBB">
      <w:headerReference w:type="default" r:id="rId10"/>
      <w:footerReference w:type="default" r:id="rId11"/>
      <w:pgSz w:w="12240" w:h="15840"/>
      <w:pgMar w:top="2673" w:right="1440" w:bottom="154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2E595" w14:textId="77777777" w:rsidR="000F5990" w:rsidRDefault="000F5990" w:rsidP="00D57390">
      <w:r>
        <w:separator/>
      </w:r>
    </w:p>
  </w:endnote>
  <w:endnote w:type="continuationSeparator" w:id="0">
    <w:p w14:paraId="3516B0D3" w14:textId="77777777" w:rsidR="000F5990" w:rsidRDefault="000F5990" w:rsidP="00D57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M Sans Regular">
    <w:altName w:val="Calibri"/>
    <w:panose1 w:val="02010303040201060303"/>
    <w:charset w:val="00"/>
    <w:family w:val="auto"/>
    <w:notTrueType/>
    <w:pitch w:val="variable"/>
    <w:sig w:usb0="A000006F" w:usb1="4000006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1" w:fontKey="{D254B6F3-5D2B-4B0A-BA33-25FB8A5C9988}"/>
    <w:embedBold r:id="rId2" w:fontKey="{64D74494-F287-44A3-8248-F147769357D4}"/>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BM Sans Bold">
    <w:altName w:val="ABM Sans"/>
    <w:panose1 w:val="02010303040201060303"/>
    <w:charset w:val="00"/>
    <w:family w:val="auto"/>
    <w:notTrueType/>
    <w:pitch w:val="variable"/>
    <w:sig w:usb0="A000006F" w:usb1="4000006B" w:usb2="00000028" w:usb3="00000000" w:csb0="00000093" w:csb1="00000000"/>
  </w:font>
  <w:font w:name="ABM Sans SemiBold">
    <w:panose1 w:val="02010303040201060303"/>
    <w:charset w:val="00"/>
    <w:family w:val="auto"/>
    <w:pitch w:val="variable"/>
    <w:sig w:usb0="A000006F" w:usb1="4000006B" w:usb2="00000020" w:usb3="00000000" w:csb0="00000093" w:csb1="00000000"/>
    <w:embedBold r:id="rId3" w:fontKey="{F3D10E8D-9CCC-408A-94C2-21EA9DF050D9}"/>
  </w:font>
  <w:font w:name="Calibri Light">
    <w:panose1 w:val="020F0302020204030204"/>
    <w:charset w:val="00"/>
    <w:family w:val="swiss"/>
    <w:pitch w:val="variable"/>
    <w:sig w:usb0="E4002EFF" w:usb1="C200247B" w:usb2="00000009" w:usb3="00000000" w:csb0="000001FF" w:csb1="00000000"/>
    <w:embedRegular r:id="rId4" w:fontKey="{42DAA1A2-12D1-4342-9AB5-961695AE63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199FF" w14:textId="723CC62C" w:rsidR="007E7609" w:rsidRDefault="007E7609">
    <w:r w:rsidRPr="00971DD3">
      <w:rPr>
        <w:rFonts w:cs="ABM Sans Regular"/>
        <w:b/>
        <w:bCs/>
        <w:noProof/>
        <w:color w:val="0A0F36" w:themeColor="background2" w:themeShade="80"/>
        <w:sz w:val="16"/>
        <w:szCs w:val="16"/>
      </w:rPr>
      <w:drawing>
        <wp:anchor distT="0" distB="0" distL="114300" distR="114300" simplePos="0" relativeHeight="251660288" behindDoc="1" locked="0" layoutInCell="1" allowOverlap="1" wp14:anchorId="7704300B" wp14:editId="21082436">
          <wp:simplePos x="0" y="0"/>
          <wp:positionH relativeFrom="column">
            <wp:posOffset>-914400</wp:posOffset>
          </wp:positionH>
          <wp:positionV relativeFrom="paragraph">
            <wp:posOffset>-91663</wp:posOffset>
          </wp:positionV>
          <wp:extent cx="7765415" cy="734769"/>
          <wp:effectExtent l="0" t="0" r="0" b="1905"/>
          <wp:wrapNone/>
          <wp:docPr id="1907673033" name="Picture 1907673033" descr="A white background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62757" name="Picture 1" descr="A white background with red and black text&#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765415" cy="734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E6F5E" w14:textId="77777777" w:rsidR="000F5990" w:rsidRDefault="000F5990" w:rsidP="00D57390">
      <w:r>
        <w:separator/>
      </w:r>
    </w:p>
  </w:footnote>
  <w:footnote w:type="continuationSeparator" w:id="0">
    <w:p w14:paraId="6FE8D3A4" w14:textId="77777777" w:rsidR="000F5990" w:rsidRDefault="000F5990" w:rsidP="00D57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C040A" w14:textId="6F6DC920" w:rsidR="00D57390" w:rsidRPr="00CB618E" w:rsidRDefault="00D57390" w:rsidP="00D57390">
    <w:pPr>
      <w:spacing w:before="90"/>
      <w:ind w:right="-630"/>
      <w:jc w:val="right"/>
      <w:rPr>
        <w:rFonts w:cs="ABM Sans Regular"/>
        <w:color w:val="414141" w:themeColor="text1"/>
        <w:sz w:val="16"/>
        <w:szCs w:val="16"/>
      </w:rPr>
    </w:pPr>
    <w:r w:rsidRPr="00662F23">
      <w:rPr>
        <w:rFonts w:ascii="ABM Sans SemiBold" w:hAnsi="ABM Sans SemiBold" w:cs="ABM Sans SemiBold"/>
        <w:b/>
        <w:bCs/>
        <w:noProof/>
        <w:color w:val="414141" w:themeColor="text1"/>
        <w:sz w:val="16"/>
        <w:szCs w:val="16"/>
      </w:rPr>
      <w:drawing>
        <wp:anchor distT="0" distB="0" distL="114300" distR="114300" simplePos="0" relativeHeight="251658240" behindDoc="1" locked="0" layoutInCell="1" allowOverlap="1" wp14:anchorId="4A22A218" wp14:editId="428FC868">
          <wp:simplePos x="0" y="0"/>
          <wp:positionH relativeFrom="column">
            <wp:posOffset>-914400</wp:posOffset>
          </wp:positionH>
          <wp:positionV relativeFrom="paragraph">
            <wp:posOffset>-435935</wp:posOffset>
          </wp:positionV>
          <wp:extent cx="7764056" cy="925033"/>
          <wp:effectExtent l="0" t="0" r="0" b="2540"/>
          <wp:wrapNone/>
          <wp:docPr id="1400420956" name="Picture 1400420956" descr="A white background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62757" name="Picture 1" descr="A white background with red and black text&#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765961" cy="92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ACE">
      <w:rPr>
        <w:rFonts w:ascii="ABM Sans SemiBold" w:hAnsi="ABM Sans SemiBold" w:cs="ABM Sans SemiBold"/>
        <w:b/>
        <w:bCs/>
        <w:noProof/>
        <w:color w:val="414141" w:themeColor="text1"/>
        <w:sz w:val="16"/>
        <w:szCs w:val="16"/>
      </w:rPr>
      <w:t>Marketing</w:t>
    </w:r>
    <w:r w:rsidRPr="00CB618E">
      <w:rPr>
        <w:rFonts w:cs="ABM Sans Regular"/>
        <w:b/>
        <w:bCs/>
        <w:color w:val="414141" w:themeColor="text1"/>
        <w:sz w:val="16"/>
        <w:szCs w:val="16"/>
      </w:rPr>
      <w:br/>
    </w:r>
    <w:r w:rsidRPr="00CB618E">
      <w:rPr>
        <w:rFonts w:cs="ABM Sans Regular"/>
        <w:color w:val="414141" w:themeColor="text1"/>
        <w:sz w:val="16"/>
        <w:szCs w:val="16"/>
      </w:rPr>
      <w:t>4151 Ashford Dunwoody Rd.</w:t>
    </w:r>
    <w:r w:rsidRPr="00CB618E">
      <w:rPr>
        <w:rFonts w:cs="ABM Sans Regular"/>
        <w:color w:val="414141" w:themeColor="text1"/>
        <w:sz w:val="16"/>
        <w:szCs w:val="16"/>
      </w:rPr>
      <w:br/>
      <w:t>Suite 600</w:t>
    </w:r>
    <w:r w:rsidRPr="00CB618E">
      <w:rPr>
        <w:rFonts w:cs="ABM Sans Regular"/>
        <w:color w:val="414141" w:themeColor="text1"/>
        <w:sz w:val="16"/>
        <w:szCs w:val="16"/>
      </w:rPr>
      <w:br/>
      <w:t>Atlanta, GA 30319</w:t>
    </w:r>
  </w:p>
  <w:p w14:paraId="27E13A4F" w14:textId="61C9CFB4" w:rsidR="00D57390" w:rsidRPr="00CB618E" w:rsidRDefault="00D57390" w:rsidP="00075ACE">
    <w:pPr>
      <w:spacing w:before="90"/>
      <w:ind w:right="-630"/>
      <w:jc w:val="center"/>
      <w:rPr>
        <w:rFonts w:cs="ABM Sans Regular"/>
        <w:color w:val="414141" w:themeColor="text1"/>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077CC"/>
    <w:multiLevelType w:val="hybridMultilevel"/>
    <w:tmpl w:val="61B8499E"/>
    <w:lvl w:ilvl="0" w:tplc="7E840CD2">
      <w:start w:val="1"/>
      <w:numFmt w:val="bullet"/>
      <w:lvlText w:val=""/>
      <w:lvlJc w:val="left"/>
      <w:pPr>
        <w:ind w:left="720" w:hanging="360"/>
      </w:pPr>
      <w:rPr>
        <w:rFonts w:ascii="Symbol" w:hAnsi="Symbol" w:hint="default"/>
        <w:b w:val="0"/>
        <w:i w:val="0"/>
        <w:color w:val="0545F5" w:themeColor="accent1"/>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32ACA"/>
    <w:multiLevelType w:val="multilevel"/>
    <w:tmpl w:val="17D2221E"/>
    <w:styleLink w:val="BulletsABM"/>
    <w:lvl w:ilvl="0">
      <w:start w:val="1"/>
      <w:numFmt w:val="bullet"/>
      <w:lvlText w:val=""/>
      <w:lvlJc w:val="left"/>
      <w:pPr>
        <w:ind w:left="720" w:hanging="360"/>
      </w:pPr>
      <w:rPr>
        <w:rFonts w:ascii="ABM Sans Regular" w:hAnsi="ABM Sans Regular" w:hint="default"/>
        <w:b w:val="0"/>
        <w:i w:val="0"/>
        <w:color w:val="0545F5" w:themeColor="accent1"/>
        <w:sz w:val="22"/>
      </w:rPr>
    </w:lvl>
    <w:lvl w:ilvl="1">
      <w:start w:val="1"/>
      <w:numFmt w:val="bullet"/>
      <w:lvlText w:val="o"/>
      <w:lvlJc w:val="left"/>
      <w:pPr>
        <w:ind w:left="1440" w:hanging="360"/>
      </w:pPr>
      <w:rPr>
        <w:rFonts w:ascii="ABM Sans Regular" w:hAnsi="ABM Sans Regular" w:cs="Courier New" w:hint="default"/>
        <w:b w:val="0"/>
        <w:i w:val="0"/>
        <w:color w:val="0545F5" w:themeColor="accent1"/>
        <w:sz w:val="22"/>
      </w:rPr>
    </w:lvl>
    <w:lvl w:ilvl="2">
      <w:start w:val="1"/>
      <w:numFmt w:val="bullet"/>
      <w:lvlText w:val=""/>
      <w:lvlJc w:val="left"/>
      <w:pPr>
        <w:ind w:left="2160" w:hanging="360"/>
      </w:pPr>
      <w:rPr>
        <w:rFonts w:ascii="Wingdings" w:hAnsi="Wingdings" w:hint="default"/>
        <w:color w:val="0545F5" w:themeColor="accent1"/>
      </w:rPr>
    </w:lvl>
    <w:lvl w:ilvl="3">
      <w:start w:val="1"/>
      <w:numFmt w:val="bullet"/>
      <w:lvlText w:val=""/>
      <w:lvlJc w:val="left"/>
      <w:pPr>
        <w:ind w:left="2880" w:hanging="360"/>
      </w:pPr>
      <w:rPr>
        <w:rFonts w:ascii="Symbol" w:hAnsi="Symbol" w:hint="default"/>
        <w:color w:val="0545F5" w:themeColor="accent1"/>
      </w:rPr>
    </w:lvl>
    <w:lvl w:ilvl="4">
      <w:start w:val="1"/>
      <w:numFmt w:val="bullet"/>
      <w:lvlText w:val="o"/>
      <w:lvlJc w:val="left"/>
      <w:pPr>
        <w:ind w:left="3600" w:hanging="360"/>
      </w:pPr>
      <w:rPr>
        <w:rFonts w:ascii="Courier New" w:hAnsi="Courier New" w:cs="Courier New" w:hint="default"/>
        <w:color w:val="0545F5" w:themeColor="accent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66E6517"/>
    <w:multiLevelType w:val="hybridMultilevel"/>
    <w:tmpl w:val="17D2221E"/>
    <w:lvl w:ilvl="0" w:tplc="31C6C674">
      <w:start w:val="1"/>
      <w:numFmt w:val="bullet"/>
      <w:pStyle w:val="Bullets1"/>
      <w:lvlText w:val=""/>
      <w:lvlJc w:val="left"/>
      <w:pPr>
        <w:ind w:left="720" w:hanging="360"/>
      </w:pPr>
      <w:rPr>
        <w:rFonts w:ascii="Symbol" w:hAnsi="Symbol" w:hint="default"/>
        <w:b w:val="0"/>
        <w:i w:val="0"/>
        <w:color w:val="0545F5" w:themeColor="accent1"/>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D1044F8"/>
    <w:multiLevelType w:val="hybridMultilevel"/>
    <w:tmpl w:val="0700C77C"/>
    <w:lvl w:ilvl="0" w:tplc="FFFFFFFF">
      <w:start w:val="1"/>
      <w:numFmt w:val="bullet"/>
      <w:lvlText w:val=""/>
      <w:lvlJc w:val="left"/>
      <w:pPr>
        <w:ind w:left="720" w:hanging="360"/>
      </w:pPr>
      <w:rPr>
        <w:rFonts w:ascii="Symbol" w:hAnsi="Symbol" w:hint="default"/>
        <w:b w:val="0"/>
        <w:i w:val="0"/>
        <w:color w:val="0545F5" w:themeColor="accent1"/>
        <w:sz w:val="22"/>
      </w:rPr>
    </w:lvl>
    <w:lvl w:ilvl="1" w:tplc="98880C3C">
      <w:start w:val="1"/>
      <w:numFmt w:val="bullet"/>
      <w:pStyle w:val="Bullets3"/>
      <w:lvlText w:val=""/>
      <w:lvlJc w:val="left"/>
      <w:pPr>
        <w:ind w:left="1440" w:hanging="360"/>
      </w:pPr>
      <w:rPr>
        <w:rFonts w:ascii="Symbol" w:hAnsi="Symbol" w:hint="default"/>
        <w:b w:val="0"/>
        <w:i w:val="0"/>
        <w:color w:val="0545F5" w:themeColor="accent1"/>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1077C53"/>
    <w:multiLevelType w:val="hybridMultilevel"/>
    <w:tmpl w:val="8D00AF22"/>
    <w:lvl w:ilvl="0" w:tplc="39AE4C0C">
      <w:start w:val="1"/>
      <w:numFmt w:val="bullet"/>
      <w:lvlText w:val=""/>
      <w:lvlJc w:val="left"/>
      <w:pPr>
        <w:ind w:left="720" w:hanging="360"/>
      </w:pPr>
      <w:rPr>
        <w:rFonts w:ascii="Symbol" w:hAnsi="Symbol" w:hint="default"/>
        <w:color w:val="0545F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21662C"/>
    <w:multiLevelType w:val="multilevel"/>
    <w:tmpl w:val="D0FAB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0A069B"/>
    <w:multiLevelType w:val="hybridMultilevel"/>
    <w:tmpl w:val="B7BEA906"/>
    <w:lvl w:ilvl="0" w:tplc="FFFFFFFF">
      <w:start w:val="1"/>
      <w:numFmt w:val="bullet"/>
      <w:lvlText w:val=""/>
      <w:lvlJc w:val="left"/>
      <w:pPr>
        <w:ind w:left="720" w:hanging="360"/>
      </w:pPr>
      <w:rPr>
        <w:rFonts w:ascii="Symbol" w:hAnsi="Symbol" w:hint="default"/>
        <w:b w:val="0"/>
        <w:i w:val="0"/>
        <w:color w:val="0545F5" w:themeColor="accent1"/>
        <w:sz w:val="22"/>
      </w:rPr>
    </w:lvl>
    <w:lvl w:ilvl="1" w:tplc="7E840CD2">
      <w:start w:val="1"/>
      <w:numFmt w:val="bullet"/>
      <w:lvlText w:val=""/>
      <w:lvlJc w:val="left"/>
      <w:pPr>
        <w:ind w:left="1440" w:hanging="360"/>
      </w:pPr>
      <w:rPr>
        <w:rFonts w:ascii="Symbol" w:hAnsi="Symbol" w:hint="default"/>
        <w:b w:val="0"/>
        <w:i w:val="0"/>
        <w:color w:val="0545F5" w:themeColor="accent1"/>
        <w:sz w:val="22"/>
      </w:rPr>
    </w:lvl>
    <w:lvl w:ilvl="2" w:tplc="7E840CD2">
      <w:start w:val="1"/>
      <w:numFmt w:val="bullet"/>
      <w:lvlText w:val=""/>
      <w:lvlJc w:val="left"/>
      <w:pPr>
        <w:ind w:left="2160" w:hanging="360"/>
      </w:pPr>
      <w:rPr>
        <w:rFonts w:ascii="Symbol" w:hAnsi="Symbol" w:hint="default"/>
        <w:b w:val="0"/>
        <w:i w:val="0"/>
        <w:color w:val="0545F5" w:themeColor="accent1"/>
        <w:sz w:val="22"/>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A827C2F"/>
    <w:multiLevelType w:val="hybridMultilevel"/>
    <w:tmpl w:val="FC5042D0"/>
    <w:lvl w:ilvl="0" w:tplc="FFFFFFFF">
      <w:start w:val="1"/>
      <w:numFmt w:val="bullet"/>
      <w:lvlText w:val=""/>
      <w:lvlJc w:val="left"/>
      <w:pPr>
        <w:ind w:left="720" w:hanging="360"/>
      </w:pPr>
      <w:rPr>
        <w:rFonts w:ascii="Symbol" w:hAnsi="Symbol" w:hint="default"/>
        <w:b w:val="0"/>
        <w:i w:val="0"/>
        <w:color w:val="0545F5" w:themeColor="accent1"/>
        <w:sz w:val="22"/>
      </w:rPr>
    </w:lvl>
    <w:lvl w:ilvl="1" w:tplc="B0A8CC3E">
      <w:start w:val="1"/>
      <w:numFmt w:val="bullet"/>
      <w:pStyle w:val="Bullets2"/>
      <w:lvlText w:val=""/>
      <w:lvlJc w:val="left"/>
      <w:pPr>
        <w:ind w:left="1440" w:hanging="360"/>
      </w:pPr>
      <w:rPr>
        <w:rFonts w:ascii="Symbol" w:hAnsi="Symbol" w:hint="default"/>
        <w:b w:val="0"/>
        <w:i w:val="0"/>
        <w:color w:val="0545F5" w:themeColor="accent1"/>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1B202DC"/>
    <w:multiLevelType w:val="multilevel"/>
    <w:tmpl w:val="DB20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5528356">
    <w:abstractNumId w:val="4"/>
  </w:num>
  <w:num w:numId="2" w16cid:durableId="2029797506">
    <w:abstractNumId w:val="2"/>
  </w:num>
  <w:num w:numId="3" w16cid:durableId="517430610">
    <w:abstractNumId w:val="6"/>
  </w:num>
  <w:num w:numId="4" w16cid:durableId="1145197183">
    <w:abstractNumId w:val="0"/>
  </w:num>
  <w:num w:numId="5" w16cid:durableId="87507021">
    <w:abstractNumId w:val="1"/>
  </w:num>
  <w:num w:numId="6" w16cid:durableId="1611623226">
    <w:abstractNumId w:val="7"/>
  </w:num>
  <w:num w:numId="7" w16cid:durableId="272440898">
    <w:abstractNumId w:val="3"/>
  </w:num>
  <w:num w:numId="8" w16cid:durableId="476647026">
    <w:abstractNumId w:val="8"/>
  </w:num>
  <w:num w:numId="9" w16cid:durableId="12059470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90"/>
    <w:rsid w:val="00037430"/>
    <w:rsid w:val="000603EA"/>
    <w:rsid w:val="00075ACE"/>
    <w:rsid w:val="000F5990"/>
    <w:rsid w:val="001D4FC4"/>
    <w:rsid w:val="0027135C"/>
    <w:rsid w:val="00350FDB"/>
    <w:rsid w:val="00385AB1"/>
    <w:rsid w:val="003B1635"/>
    <w:rsid w:val="003E1CDD"/>
    <w:rsid w:val="003E7E3F"/>
    <w:rsid w:val="003F6951"/>
    <w:rsid w:val="00421C55"/>
    <w:rsid w:val="004E1CBB"/>
    <w:rsid w:val="004F2AB9"/>
    <w:rsid w:val="00555706"/>
    <w:rsid w:val="005A1255"/>
    <w:rsid w:val="005A261D"/>
    <w:rsid w:val="005E2D85"/>
    <w:rsid w:val="005F3807"/>
    <w:rsid w:val="006556A1"/>
    <w:rsid w:val="00662F23"/>
    <w:rsid w:val="00694AC7"/>
    <w:rsid w:val="00694EAB"/>
    <w:rsid w:val="006A0342"/>
    <w:rsid w:val="006A3FEC"/>
    <w:rsid w:val="0074109C"/>
    <w:rsid w:val="007841CE"/>
    <w:rsid w:val="0079760D"/>
    <w:rsid w:val="007E7609"/>
    <w:rsid w:val="007F11FD"/>
    <w:rsid w:val="00841204"/>
    <w:rsid w:val="00854383"/>
    <w:rsid w:val="00883953"/>
    <w:rsid w:val="008B5FB1"/>
    <w:rsid w:val="00946C0C"/>
    <w:rsid w:val="00971DD3"/>
    <w:rsid w:val="009C5628"/>
    <w:rsid w:val="00A226CF"/>
    <w:rsid w:val="00A47526"/>
    <w:rsid w:val="00A62A8B"/>
    <w:rsid w:val="00AB235C"/>
    <w:rsid w:val="00AC44DA"/>
    <w:rsid w:val="00B01C5A"/>
    <w:rsid w:val="00B54A7E"/>
    <w:rsid w:val="00B55EDE"/>
    <w:rsid w:val="00B94E52"/>
    <w:rsid w:val="00BC2731"/>
    <w:rsid w:val="00BE6469"/>
    <w:rsid w:val="00C2597C"/>
    <w:rsid w:val="00C37FDF"/>
    <w:rsid w:val="00C54AB9"/>
    <w:rsid w:val="00CB618E"/>
    <w:rsid w:val="00CB69BD"/>
    <w:rsid w:val="00CE02E7"/>
    <w:rsid w:val="00D33455"/>
    <w:rsid w:val="00D553BD"/>
    <w:rsid w:val="00D57390"/>
    <w:rsid w:val="00D63924"/>
    <w:rsid w:val="00E053AC"/>
    <w:rsid w:val="00E4146E"/>
    <w:rsid w:val="00F34520"/>
    <w:rsid w:val="00F965CE"/>
    <w:rsid w:val="00FB0986"/>
    <w:rsid w:val="00FB3609"/>
    <w:rsid w:val="00FF2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4CF15"/>
  <w15:chartTrackingRefBased/>
  <w15:docId w15:val="{03EAD479-5C49-074F-B7A8-55392A76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DB"/>
    <w:rPr>
      <w:rFonts w:ascii="ABM Sans Regular" w:hAnsi="ABM Sans Regular"/>
      <w:sz w:val="22"/>
    </w:rPr>
  </w:style>
  <w:style w:type="paragraph" w:styleId="Heading1">
    <w:name w:val="heading 1"/>
    <w:basedOn w:val="Normal"/>
    <w:link w:val="Heading1Char"/>
    <w:autoRedefine/>
    <w:qFormat/>
    <w:rsid w:val="00B55EDE"/>
    <w:pPr>
      <w:pageBreakBefore/>
      <w:tabs>
        <w:tab w:val="left" w:pos="567"/>
      </w:tabs>
      <w:spacing w:before="320" w:after="240"/>
      <w:outlineLvl w:val="0"/>
    </w:pPr>
    <w:rPr>
      <w:rFonts w:ascii="Arial" w:eastAsia="MS Mincho" w:hAnsi="Arial" w:cs="Times New Roman"/>
      <w:b/>
      <w:color w:val="DC1E37"/>
      <w:kern w:val="28"/>
      <w:sz w:val="36"/>
      <w:szCs w:val="20"/>
    </w:rPr>
  </w:style>
  <w:style w:type="paragraph" w:styleId="Heading2">
    <w:name w:val="heading 2"/>
    <w:basedOn w:val="Normal"/>
    <w:next w:val="Normal"/>
    <w:link w:val="Heading2Char"/>
    <w:uiPriority w:val="9"/>
    <w:semiHidden/>
    <w:unhideWhenUsed/>
    <w:qFormat/>
    <w:rsid w:val="00BC2731"/>
    <w:pPr>
      <w:keepNext/>
      <w:keepLines/>
      <w:spacing w:before="40"/>
      <w:outlineLvl w:val="1"/>
    </w:pPr>
    <w:rPr>
      <w:rFonts w:eastAsiaTheme="majorEastAsia" w:cstheme="majorBidi"/>
      <w:color w:val="0333B7"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EDE"/>
    <w:rPr>
      <w:rFonts w:ascii="Arial" w:eastAsia="MS Mincho" w:hAnsi="Arial" w:cs="Times New Roman"/>
      <w:b/>
      <w:color w:val="DC1E37"/>
      <w:kern w:val="28"/>
      <w:sz w:val="36"/>
      <w:szCs w:val="20"/>
    </w:rPr>
  </w:style>
  <w:style w:type="paragraph" w:styleId="NormalWeb">
    <w:name w:val="Normal (Web)"/>
    <w:basedOn w:val="Normal"/>
    <w:uiPriority w:val="99"/>
    <w:semiHidden/>
    <w:unhideWhenUsed/>
    <w:rsid w:val="00D57390"/>
    <w:pPr>
      <w:spacing w:before="100" w:beforeAutospacing="1" w:after="100" w:afterAutospacing="1"/>
    </w:pPr>
    <w:rPr>
      <w:rFonts w:ascii="Times New Roman" w:eastAsia="Times New Roman" w:hAnsi="Times New Roman" w:cs="Times New Roman"/>
      <w:kern w:val="0"/>
      <w14:ligatures w14:val="none"/>
    </w:rPr>
  </w:style>
  <w:style w:type="paragraph" w:customStyle="1" w:styleId="Heading">
    <w:name w:val="Heading"/>
    <w:basedOn w:val="Normal"/>
    <w:qFormat/>
    <w:rsid w:val="00BC2731"/>
    <w:pPr>
      <w:spacing w:after="200"/>
    </w:pPr>
    <w:rPr>
      <w:rFonts w:cs="ABM Sans Regular"/>
      <w:color w:val="151F6D" w:themeColor="background2"/>
      <w:kern w:val="0"/>
      <w:sz w:val="40"/>
      <w:szCs w:val="40"/>
      <w14:ligatures w14:val="none"/>
    </w:rPr>
  </w:style>
  <w:style w:type="paragraph" w:customStyle="1" w:styleId="Intro">
    <w:name w:val="Intro"/>
    <w:basedOn w:val="Normal"/>
    <w:qFormat/>
    <w:rsid w:val="00BC2731"/>
    <w:pPr>
      <w:spacing w:after="200"/>
    </w:pPr>
    <w:rPr>
      <w:rFonts w:cs="ABM Sans Regular"/>
      <w:color w:val="0545F5" w:themeColor="accent1"/>
      <w:kern w:val="0"/>
      <w:sz w:val="24"/>
      <w14:ligatures w14:val="none"/>
    </w:rPr>
  </w:style>
  <w:style w:type="paragraph" w:customStyle="1" w:styleId="Subhead">
    <w:name w:val="Subhead"/>
    <w:basedOn w:val="Normal"/>
    <w:qFormat/>
    <w:rsid w:val="00BC2731"/>
    <w:pPr>
      <w:spacing w:after="200"/>
    </w:pPr>
    <w:rPr>
      <w:rFonts w:ascii="ABM Sans Bold" w:hAnsi="ABM Sans Bold" w:cs="ABM Sans Bold"/>
      <w:b/>
      <w:bCs/>
      <w:color w:val="151F6D" w:themeColor="background2"/>
      <w:kern w:val="0"/>
      <w:sz w:val="20"/>
      <w:szCs w:val="20"/>
      <w14:ligatures w14:val="none"/>
    </w:rPr>
  </w:style>
  <w:style w:type="character" w:customStyle="1" w:styleId="Heading2Char">
    <w:name w:val="Heading 2 Char"/>
    <w:basedOn w:val="DefaultParagraphFont"/>
    <w:link w:val="Heading2"/>
    <w:uiPriority w:val="9"/>
    <w:semiHidden/>
    <w:rsid w:val="00BC2731"/>
    <w:rPr>
      <w:rFonts w:ascii="ABM Sans Regular" w:eastAsiaTheme="majorEastAsia" w:hAnsi="ABM Sans Regular" w:cstheme="majorBidi"/>
      <w:color w:val="0333B7" w:themeColor="accent1" w:themeShade="BF"/>
      <w:sz w:val="26"/>
      <w:szCs w:val="26"/>
    </w:rPr>
  </w:style>
  <w:style w:type="numbering" w:customStyle="1" w:styleId="BulletsABM">
    <w:name w:val="Bullets ABM"/>
    <w:basedOn w:val="NoList"/>
    <w:uiPriority w:val="99"/>
    <w:rsid w:val="00E4146E"/>
    <w:pPr>
      <w:numPr>
        <w:numId w:val="5"/>
      </w:numPr>
    </w:pPr>
  </w:style>
  <w:style w:type="paragraph" w:customStyle="1" w:styleId="Bullets1">
    <w:name w:val="Bullets 1"/>
    <w:basedOn w:val="Normal"/>
    <w:qFormat/>
    <w:rsid w:val="00E4146E"/>
    <w:pPr>
      <w:numPr>
        <w:numId w:val="2"/>
      </w:numPr>
      <w:spacing w:after="240"/>
      <w:ind w:left="450" w:hanging="270"/>
    </w:pPr>
    <w:rPr>
      <w:rFonts w:eastAsia="Times New Roman" w:cs="ABM Sans Regular"/>
      <w:color w:val="414141" w:themeColor="text1"/>
      <w:kern w:val="0"/>
      <w:szCs w:val="22"/>
      <w14:ligatures w14:val="none"/>
    </w:rPr>
  </w:style>
  <w:style w:type="paragraph" w:customStyle="1" w:styleId="Bullets2">
    <w:name w:val="Bullets 2"/>
    <w:basedOn w:val="Bullets1"/>
    <w:qFormat/>
    <w:rsid w:val="00E4146E"/>
    <w:pPr>
      <w:numPr>
        <w:ilvl w:val="1"/>
        <w:numId w:val="6"/>
      </w:numPr>
      <w:ind w:left="990" w:hanging="270"/>
    </w:pPr>
  </w:style>
  <w:style w:type="paragraph" w:customStyle="1" w:styleId="Bullets3">
    <w:name w:val="Bullets 3"/>
    <w:basedOn w:val="Bullets1"/>
    <w:qFormat/>
    <w:rsid w:val="00E4146E"/>
    <w:pPr>
      <w:numPr>
        <w:ilvl w:val="1"/>
        <w:numId w:val="7"/>
      </w:numPr>
    </w:pPr>
  </w:style>
  <w:style w:type="paragraph" w:styleId="Header">
    <w:name w:val="header"/>
    <w:basedOn w:val="Normal"/>
    <w:link w:val="HeaderChar"/>
    <w:uiPriority w:val="99"/>
    <w:unhideWhenUsed/>
    <w:rsid w:val="00075ACE"/>
    <w:pPr>
      <w:tabs>
        <w:tab w:val="center" w:pos="4680"/>
        <w:tab w:val="right" w:pos="9360"/>
      </w:tabs>
    </w:pPr>
  </w:style>
  <w:style w:type="character" w:customStyle="1" w:styleId="HeaderChar">
    <w:name w:val="Header Char"/>
    <w:basedOn w:val="DefaultParagraphFont"/>
    <w:link w:val="Header"/>
    <w:uiPriority w:val="99"/>
    <w:rsid w:val="00075ACE"/>
    <w:rPr>
      <w:rFonts w:ascii="ABM Sans Regular" w:hAnsi="ABM Sans Regular"/>
      <w:sz w:val="22"/>
    </w:rPr>
  </w:style>
  <w:style w:type="paragraph" w:styleId="Footer">
    <w:name w:val="footer"/>
    <w:basedOn w:val="Normal"/>
    <w:link w:val="FooterChar"/>
    <w:uiPriority w:val="99"/>
    <w:unhideWhenUsed/>
    <w:rsid w:val="00075ACE"/>
    <w:pPr>
      <w:tabs>
        <w:tab w:val="center" w:pos="4680"/>
        <w:tab w:val="right" w:pos="9360"/>
      </w:tabs>
    </w:pPr>
  </w:style>
  <w:style w:type="character" w:customStyle="1" w:styleId="FooterChar">
    <w:name w:val="Footer Char"/>
    <w:basedOn w:val="DefaultParagraphFont"/>
    <w:link w:val="Footer"/>
    <w:uiPriority w:val="99"/>
    <w:rsid w:val="00075ACE"/>
    <w:rPr>
      <w:rFonts w:ascii="ABM Sans Regular" w:hAnsi="ABM Sans Regula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9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BM Palette 224">
      <a:dk1>
        <a:srgbClr val="414141"/>
      </a:dk1>
      <a:lt1>
        <a:srgbClr val="FFFFFF"/>
      </a:lt1>
      <a:dk2>
        <a:srgbClr val="E9E9E9"/>
      </a:dk2>
      <a:lt2>
        <a:srgbClr val="151F6D"/>
      </a:lt2>
      <a:accent1>
        <a:srgbClr val="0545F5"/>
      </a:accent1>
      <a:accent2>
        <a:srgbClr val="151F6D"/>
      </a:accent2>
      <a:accent3>
        <a:srgbClr val="FF8200"/>
      </a:accent3>
      <a:accent4>
        <a:srgbClr val="D54300"/>
      </a:accent4>
      <a:accent5>
        <a:srgbClr val="33A6FF"/>
      </a:accent5>
      <a:accent6>
        <a:srgbClr val="00A881"/>
      </a:accent6>
      <a:hlink>
        <a:srgbClr val="0545F5"/>
      </a:hlink>
      <a:folHlink>
        <a:srgbClr val="151F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572A7A1A93204B9EA20CF17052C24A" ma:contentTypeVersion="14" ma:contentTypeDescription="Create a new document." ma:contentTypeScope="" ma:versionID="0f14b57605fcb1c00dc939d864d46cf9">
  <xsd:schema xmlns:xsd="http://www.w3.org/2001/XMLSchema" xmlns:xs="http://www.w3.org/2001/XMLSchema" xmlns:p="http://schemas.microsoft.com/office/2006/metadata/properties" xmlns:ns3="e7a0d63e-b106-4799-9592-db066f201ef7" xmlns:ns4="08fd1965-8b42-427e-828f-9ba18fa9dde8" targetNamespace="http://schemas.microsoft.com/office/2006/metadata/properties" ma:root="true" ma:fieldsID="0dc2f3da5ea3cb481320c3e5b3ee6eca" ns3:_="" ns4:_="">
    <xsd:import namespace="e7a0d63e-b106-4799-9592-db066f201ef7"/>
    <xsd:import namespace="08fd1965-8b42-427e-828f-9ba18fa9dde8"/>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_activity" minOccurs="0"/>
                <xsd:element ref="ns3:MediaServiceSearchProperties" minOccurs="0"/>
                <xsd:element ref="ns3:MediaServiceObjectDetectorVersion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0d63e-b106-4799-9592-db066f201ef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fd1965-8b42-427e-828f-9ba18fa9dde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7a0d63e-b106-4799-9592-db066f201ef7" xsi:nil="true"/>
  </documentManagement>
</p:properties>
</file>

<file path=customXml/itemProps1.xml><?xml version="1.0" encoding="utf-8"?>
<ds:datastoreItem xmlns:ds="http://schemas.openxmlformats.org/officeDocument/2006/customXml" ds:itemID="{B722835D-5656-484A-BF77-80B3C0ED92BB}">
  <ds:schemaRefs>
    <ds:schemaRef ds:uri="http://schemas.microsoft.com/sharepoint/v3/contenttype/forms"/>
  </ds:schemaRefs>
</ds:datastoreItem>
</file>

<file path=customXml/itemProps2.xml><?xml version="1.0" encoding="utf-8"?>
<ds:datastoreItem xmlns:ds="http://schemas.openxmlformats.org/officeDocument/2006/customXml" ds:itemID="{FC6F4096-1346-4D8F-8C6B-E0A22BE3F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0d63e-b106-4799-9592-db066f201ef7"/>
    <ds:schemaRef ds:uri="08fd1965-8b42-427e-828f-9ba18fa9dd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A68E06-CBD4-4195-ABE6-D197720CBC25}">
  <ds:schemaRefs>
    <ds:schemaRef ds:uri="http://schemas.microsoft.com/office/2006/metadata/properties"/>
    <ds:schemaRef ds:uri="http://schemas.microsoft.com/office/infopath/2007/PartnerControls"/>
    <ds:schemaRef ds:uri="e7a0d63e-b106-4799-9592-db066f201ef7"/>
  </ds:schemaRefs>
</ds:datastoreItem>
</file>

<file path=docMetadata/LabelInfo.xml><?xml version="1.0" encoding="utf-8"?>
<clbl:labelList xmlns:clbl="http://schemas.microsoft.com/office/2020/mipLabelMetadata">
  <clbl:label id="{8e4a72ef-928b-45b6-a137-7ed7bb318678}" enabled="0" method="" siteId="{8e4a72ef-928b-45b6-a137-7ed7bb318678}" removed="1"/>
</clbl:labelList>
</file>

<file path=docProps/app.xml><?xml version="1.0" encoding="utf-8"?>
<Properties xmlns="http://schemas.openxmlformats.org/officeDocument/2006/extended-properties" xmlns:vt="http://schemas.openxmlformats.org/officeDocument/2006/docPropsVTypes">
  <Template>Normal</Template>
  <TotalTime>104</TotalTime>
  <Pages>2</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Lloyd</dc:creator>
  <cp:keywords/>
  <dc:description/>
  <cp:lastModifiedBy>Julia Ivins</cp:lastModifiedBy>
  <cp:revision>16</cp:revision>
  <cp:lastPrinted>2023-10-02T15:20:00Z</cp:lastPrinted>
  <dcterms:created xsi:type="dcterms:W3CDTF">2026-04-02T19:56:00Z</dcterms:created>
  <dcterms:modified xsi:type="dcterms:W3CDTF">2026-04-27T14:58:00Z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0x010100DC572A7A1A93204B9EA20CF17052C24A</vt:lpwstr>
  </property>
</Properties>
</file>