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9371" w14:textId="77777777" w:rsidR="005757C9" w:rsidRDefault="005757C9" w:rsidP="005757C9">
      <w:pPr>
        <w:jc w:val="center"/>
        <w:rPr>
          <w:noProof/>
        </w:rPr>
      </w:pPr>
      <w:r>
        <w:rPr>
          <w:noProof/>
        </w:rPr>
        <w:drawing>
          <wp:inline distT="0" distB="0" distL="0" distR="0" wp14:anchorId="07E748C2" wp14:editId="4EDEEC61">
            <wp:extent cx="3433208" cy="490398"/>
            <wp:effectExtent l="0" t="0" r="0" b="5080"/>
            <wp:docPr id="1" name="Picture 1" descr="C:\Users\sheridan_146\Desktop\FCOB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dan_146\Desktop\FCOB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7743" cy="491046"/>
                    </a:xfrm>
                    <a:prstGeom prst="rect">
                      <a:avLst/>
                    </a:prstGeom>
                    <a:noFill/>
                    <a:ln>
                      <a:noFill/>
                    </a:ln>
                  </pic:spPr>
                </pic:pic>
              </a:graphicData>
            </a:graphic>
          </wp:inline>
        </w:drawing>
      </w:r>
    </w:p>
    <w:p w14:paraId="3DC448D7" w14:textId="77777777" w:rsidR="005757C9" w:rsidRPr="007A5C71" w:rsidRDefault="005757C9" w:rsidP="005757C9">
      <w:pPr>
        <w:jc w:val="center"/>
        <w:rPr>
          <w:noProof/>
          <w:sz w:val="16"/>
          <w:szCs w:val="16"/>
        </w:rPr>
      </w:pPr>
    </w:p>
    <w:p w14:paraId="2E2B4470" w14:textId="0B53CCBB" w:rsidR="0033119D" w:rsidRDefault="0033119D" w:rsidP="009340A6">
      <w:pPr>
        <w:tabs>
          <w:tab w:val="left" w:pos="3269"/>
        </w:tabs>
        <w:jc w:val="center"/>
        <w:rPr>
          <w:b/>
          <w:sz w:val="30"/>
          <w:szCs w:val="30"/>
        </w:rPr>
      </w:pPr>
      <w:r>
        <w:rPr>
          <w:b/>
          <w:sz w:val="30"/>
          <w:szCs w:val="30"/>
        </w:rPr>
        <w:t>Honors Financial Data</w:t>
      </w:r>
    </w:p>
    <w:p w14:paraId="28E1E97E" w14:textId="24A2AF2F" w:rsidR="00FA1456" w:rsidRDefault="7D2BA040" w:rsidP="6D94F459">
      <w:pPr>
        <w:tabs>
          <w:tab w:val="left" w:pos="3269"/>
        </w:tabs>
        <w:jc w:val="center"/>
        <w:rPr>
          <w:b/>
          <w:bCs/>
          <w:sz w:val="30"/>
          <w:szCs w:val="30"/>
        </w:rPr>
      </w:pPr>
      <w:r w:rsidRPr="6D94F459">
        <w:rPr>
          <w:b/>
          <w:bCs/>
          <w:sz w:val="30"/>
          <w:szCs w:val="30"/>
        </w:rPr>
        <w:t>Autum 2025</w:t>
      </w:r>
      <w:r w:rsidR="00FA1456" w:rsidRPr="6D94F459">
        <w:rPr>
          <w:b/>
          <w:bCs/>
          <w:sz w:val="30"/>
          <w:szCs w:val="30"/>
        </w:rPr>
        <w:t xml:space="preserve"> Busfin: 4202H </w:t>
      </w:r>
    </w:p>
    <w:p w14:paraId="4CED387B" w14:textId="77777777" w:rsidR="003B1F1E" w:rsidRDefault="003B1F1E" w:rsidP="003B1F1E">
      <w:pPr>
        <w:tabs>
          <w:tab w:val="left" w:pos="3269"/>
        </w:tabs>
        <w:jc w:val="center"/>
        <w:rPr>
          <w:b/>
          <w:sz w:val="30"/>
          <w:szCs w:val="30"/>
        </w:rPr>
      </w:pPr>
      <w:r w:rsidRPr="0033119D">
        <w:rPr>
          <w:b/>
          <w:sz w:val="30"/>
          <w:szCs w:val="30"/>
        </w:rPr>
        <w:t>Course Description and Syllabus</w:t>
      </w:r>
    </w:p>
    <w:p w14:paraId="439C9E93" w14:textId="6DF4F497" w:rsidR="005757C9" w:rsidRPr="007A5C71" w:rsidRDefault="00990FB1" w:rsidP="6D32032C">
      <w:pPr>
        <w:tabs>
          <w:tab w:val="left" w:pos="3269"/>
        </w:tabs>
        <w:jc w:val="center"/>
        <w:rPr>
          <w:b/>
          <w:bCs/>
          <w:sz w:val="30"/>
          <w:szCs w:val="30"/>
        </w:rPr>
      </w:pPr>
      <w:r w:rsidRPr="6D32032C">
        <w:rPr>
          <w:b/>
          <w:bCs/>
          <w:sz w:val="30"/>
          <w:szCs w:val="30"/>
        </w:rPr>
        <w:t>T</w:t>
      </w:r>
      <w:r w:rsidR="00920BE6" w:rsidRPr="6D32032C">
        <w:rPr>
          <w:b/>
          <w:bCs/>
          <w:sz w:val="30"/>
          <w:szCs w:val="30"/>
        </w:rPr>
        <w:t>uesday</w:t>
      </w:r>
      <w:r w:rsidR="00FA1456" w:rsidRPr="6D32032C">
        <w:rPr>
          <w:b/>
          <w:bCs/>
          <w:sz w:val="30"/>
          <w:szCs w:val="30"/>
        </w:rPr>
        <w:t>/</w:t>
      </w:r>
      <w:r w:rsidR="00920BE6" w:rsidRPr="6D32032C">
        <w:rPr>
          <w:b/>
          <w:bCs/>
          <w:sz w:val="30"/>
          <w:szCs w:val="30"/>
        </w:rPr>
        <w:t>Thursday</w:t>
      </w:r>
      <w:r w:rsidR="00FA1456" w:rsidRPr="6D32032C">
        <w:rPr>
          <w:b/>
          <w:bCs/>
          <w:sz w:val="30"/>
          <w:szCs w:val="30"/>
        </w:rPr>
        <w:t xml:space="preserve"> </w:t>
      </w:r>
      <w:r w:rsidR="003B1F1E" w:rsidRPr="6D32032C">
        <w:rPr>
          <w:b/>
          <w:bCs/>
          <w:sz w:val="30"/>
          <w:szCs w:val="30"/>
        </w:rPr>
        <w:t>1</w:t>
      </w:r>
      <w:r w:rsidR="1B660597" w:rsidRPr="6D32032C">
        <w:rPr>
          <w:b/>
          <w:bCs/>
          <w:sz w:val="30"/>
          <w:szCs w:val="30"/>
        </w:rPr>
        <w:t>2</w:t>
      </w:r>
      <w:r w:rsidR="003B1F1E" w:rsidRPr="6D32032C">
        <w:rPr>
          <w:b/>
          <w:bCs/>
          <w:sz w:val="30"/>
          <w:szCs w:val="30"/>
        </w:rPr>
        <w:t>:</w:t>
      </w:r>
      <w:r w:rsidR="0DB75321" w:rsidRPr="6D32032C">
        <w:rPr>
          <w:b/>
          <w:bCs/>
          <w:sz w:val="30"/>
          <w:szCs w:val="30"/>
        </w:rPr>
        <w:t>45</w:t>
      </w:r>
      <w:r w:rsidR="003B1F1E" w:rsidRPr="6D32032C">
        <w:rPr>
          <w:b/>
          <w:bCs/>
          <w:sz w:val="30"/>
          <w:szCs w:val="30"/>
        </w:rPr>
        <w:t xml:space="preserve"> </w:t>
      </w:r>
      <w:r w:rsidR="5D6453F9" w:rsidRPr="6D32032C">
        <w:rPr>
          <w:b/>
          <w:bCs/>
          <w:sz w:val="30"/>
          <w:szCs w:val="30"/>
        </w:rPr>
        <w:t>p</w:t>
      </w:r>
      <w:r w:rsidR="003B1F1E" w:rsidRPr="6D32032C">
        <w:rPr>
          <w:b/>
          <w:bCs/>
          <w:sz w:val="30"/>
          <w:szCs w:val="30"/>
        </w:rPr>
        <w:t>.m. – 2:</w:t>
      </w:r>
      <w:r w:rsidR="57937D4A" w:rsidRPr="6D32032C">
        <w:rPr>
          <w:b/>
          <w:bCs/>
          <w:sz w:val="30"/>
          <w:szCs w:val="30"/>
        </w:rPr>
        <w:t>45</w:t>
      </w:r>
      <w:r w:rsidR="003B1F1E" w:rsidRPr="6D32032C">
        <w:rPr>
          <w:b/>
          <w:bCs/>
          <w:sz w:val="30"/>
          <w:szCs w:val="30"/>
        </w:rPr>
        <w:t xml:space="preserve"> p.m.</w:t>
      </w:r>
      <w:r w:rsidR="006B40EC" w:rsidRPr="6D32032C">
        <w:rPr>
          <w:b/>
          <w:bCs/>
          <w:sz w:val="30"/>
          <w:szCs w:val="30"/>
        </w:rPr>
        <w:t xml:space="preserve"> in </w:t>
      </w:r>
      <w:r w:rsidR="00E40A94" w:rsidRPr="6D32032C">
        <w:rPr>
          <w:b/>
          <w:bCs/>
          <w:sz w:val="30"/>
          <w:szCs w:val="30"/>
        </w:rPr>
        <w:t>GE 210</w:t>
      </w:r>
    </w:p>
    <w:p w14:paraId="0F336681" w14:textId="77777777" w:rsidR="0033119D" w:rsidRPr="00277123" w:rsidRDefault="0033119D" w:rsidP="005757C9">
      <w:pPr>
        <w:tabs>
          <w:tab w:val="left" w:pos="3269"/>
        </w:tabs>
        <w:jc w:val="center"/>
        <w:rPr>
          <w:b/>
          <w:sz w:val="24"/>
          <w:szCs w:val="24"/>
        </w:rPr>
      </w:pPr>
    </w:p>
    <w:p w14:paraId="41F02D7E" w14:textId="77777777" w:rsidR="0033119D" w:rsidRDefault="0033119D" w:rsidP="00CF0C7C">
      <w:pPr>
        <w:jc w:val="both"/>
      </w:pPr>
      <w:r>
        <w:rPr>
          <w:b/>
        </w:rPr>
        <w:t xml:space="preserve">Instructor:  </w:t>
      </w:r>
      <w:r w:rsidRPr="0033119D">
        <w:t>Tod Schneider</w:t>
      </w:r>
      <w:r>
        <w:tab/>
      </w:r>
      <w:r>
        <w:tab/>
      </w:r>
      <w:r>
        <w:tab/>
      </w:r>
      <w:r>
        <w:tab/>
      </w:r>
      <w:r>
        <w:rPr>
          <w:b/>
        </w:rPr>
        <w:t xml:space="preserve">Instructor:  </w:t>
      </w:r>
      <w:r>
        <w:t>Matt Sheridan</w:t>
      </w:r>
    </w:p>
    <w:p w14:paraId="360E1151" w14:textId="77777777" w:rsidR="0033119D" w:rsidRDefault="0033119D" w:rsidP="00CF0C7C">
      <w:r w:rsidRPr="00131955">
        <w:rPr>
          <w:b/>
        </w:rPr>
        <w:t>E-mail:</w:t>
      </w:r>
      <w:r>
        <w:tab/>
        <w:t xml:space="preserve"> </w:t>
      </w:r>
      <w:r w:rsidRPr="0033119D">
        <w:t>schneider.275@osu.edu</w:t>
      </w:r>
      <w:r>
        <w:tab/>
      </w:r>
      <w:r>
        <w:tab/>
      </w:r>
      <w:r>
        <w:tab/>
      </w:r>
      <w:r w:rsidRPr="00131955">
        <w:rPr>
          <w:b/>
        </w:rPr>
        <w:t>E-mail:</w:t>
      </w:r>
      <w:r>
        <w:tab/>
      </w:r>
      <w:r w:rsidR="004A3BF0">
        <w:t xml:space="preserve"> s</w:t>
      </w:r>
      <w:r>
        <w:t>heridan.146@osu.edu</w:t>
      </w:r>
    </w:p>
    <w:p w14:paraId="54BB2265" w14:textId="77777777" w:rsidR="0033119D" w:rsidRDefault="0033119D" w:rsidP="00CF0C7C">
      <w:pPr>
        <w:rPr>
          <w:b/>
        </w:rPr>
      </w:pPr>
      <w:r w:rsidRPr="00131955">
        <w:rPr>
          <w:b/>
        </w:rPr>
        <w:t>Office</w:t>
      </w:r>
      <w:r>
        <w:rPr>
          <w:b/>
        </w:rPr>
        <w:t>:</w:t>
      </w:r>
      <w:r w:rsidRPr="00A11F48">
        <w:t xml:space="preserve">  </w:t>
      </w:r>
      <w:r>
        <w:t>255B Fisher Hall</w:t>
      </w:r>
      <w:r>
        <w:tab/>
      </w:r>
      <w:r>
        <w:tab/>
      </w:r>
      <w:r>
        <w:tab/>
      </w:r>
      <w:r>
        <w:tab/>
      </w:r>
      <w:r>
        <w:tab/>
      </w:r>
      <w:r w:rsidRPr="00131955">
        <w:rPr>
          <w:b/>
        </w:rPr>
        <w:t>Office</w:t>
      </w:r>
      <w:r>
        <w:rPr>
          <w:b/>
        </w:rPr>
        <w:t>:</w:t>
      </w:r>
      <w:r w:rsidRPr="00A11F48">
        <w:t xml:space="preserve">  </w:t>
      </w:r>
      <w:r>
        <w:t>306 Fisher Hall</w:t>
      </w:r>
    </w:p>
    <w:p w14:paraId="2A2371F5" w14:textId="3802E092" w:rsidR="0033119D" w:rsidRDefault="3D68384B" w:rsidP="6D32032C">
      <w:pPr>
        <w:ind w:left="720" w:firstLine="720"/>
      </w:pPr>
      <w:r w:rsidRPr="6D94F459">
        <w:rPr>
          <w:b/>
          <w:bCs/>
        </w:rPr>
        <w:t xml:space="preserve"> </w:t>
      </w:r>
      <w:r w:rsidR="0033119D">
        <w:tab/>
      </w:r>
      <w:r w:rsidR="0033119D">
        <w:tab/>
      </w:r>
      <w:r w:rsidR="0033119D">
        <w:tab/>
      </w:r>
      <w:r w:rsidR="0033119D">
        <w:tab/>
      </w:r>
      <w:r w:rsidR="0033119D">
        <w:tab/>
      </w:r>
      <w:r w:rsidR="0033119D" w:rsidRPr="6D94F459">
        <w:rPr>
          <w:b/>
          <w:bCs/>
        </w:rPr>
        <w:t>Phone:</w:t>
      </w:r>
      <w:r w:rsidR="0033119D">
        <w:t xml:space="preserve"> (614) 688-1297</w:t>
      </w:r>
    </w:p>
    <w:p w14:paraId="2CD781BF" w14:textId="747F4D45" w:rsidR="00CF0C7C" w:rsidRDefault="0033119D" w:rsidP="008B459F">
      <w:pPr>
        <w:jc w:val="both"/>
      </w:pPr>
      <w:r w:rsidRPr="6D32032C">
        <w:rPr>
          <w:b/>
          <w:bCs/>
        </w:rPr>
        <w:t xml:space="preserve">Office Hours:  </w:t>
      </w:r>
      <w:r w:rsidR="64F1E476">
        <w:t xml:space="preserve">Tuesday 10am-12pm </w:t>
      </w:r>
      <w:r>
        <w:tab/>
      </w:r>
      <w:r>
        <w:tab/>
      </w:r>
      <w:r w:rsidR="23B46A08" w:rsidRPr="6D32032C">
        <w:rPr>
          <w:b/>
          <w:bCs/>
        </w:rPr>
        <w:t xml:space="preserve">              </w:t>
      </w:r>
      <w:r w:rsidRPr="6D32032C">
        <w:rPr>
          <w:b/>
          <w:bCs/>
        </w:rPr>
        <w:t>Office Hours:</w:t>
      </w:r>
      <w:r w:rsidR="00435E69" w:rsidRPr="6D32032C">
        <w:rPr>
          <w:b/>
          <w:bCs/>
        </w:rPr>
        <w:t xml:space="preserve"> </w:t>
      </w:r>
      <w:r w:rsidR="00E40A94" w:rsidRPr="6D32032C">
        <w:rPr>
          <w:rFonts w:eastAsia="Times New Roman"/>
        </w:rPr>
        <w:t>Fridays 2-4 p.m.</w:t>
      </w:r>
      <w:r w:rsidR="00C95865" w:rsidRPr="6D32032C">
        <w:rPr>
          <w:rFonts w:eastAsia="Times New Roman"/>
        </w:rPr>
        <w:t xml:space="preserve"> </w:t>
      </w:r>
    </w:p>
    <w:p w14:paraId="629949A3" w14:textId="77777777" w:rsidR="00435E69" w:rsidRDefault="00CF0C7C" w:rsidP="00CF0C7C">
      <w:pPr>
        <w:pBdr>
          <w:bottom w:val="single" w:sz="4" w:space="0" w:color="auto"/>
        </w:pBdr>
        <w:jc w:val="both"/>
      </w:pPr>
      <w:r>
        <w:tab/>
      </w:r>
      <w:r>
        <w:tab/>
      </w:r>
      <w:r>
        <w:tab/>
        <w:t xml:space="preserve">   </w:t>
      </w:r>
    </w:p>
    <w:p w14:paraId="2DAAD678" w14:textId="77777777" w:rsidR="005757C9" w:rsidRPr="00277123" w:rsidRDefault="005757C9" w:rsidP="0033119D">
      <w:pPr>
        <w:tabs>
          <w:tab w:val="left" w:pos="3269"/>
        </w:tabs>
        <w:rPr>
          <w:b/>
          <w:sz w:val="16"/>
          <w:szCs w:val="16"/>
        </w:rPr>
      </w:pPr>
    </w:p>
    <w:p w14:paraId="0DF294C9" w14:textId="77777777" w:rsidR="005757C9" w:rsidRPr="00277123" w:rsidRDefault="005757C9" w:rsidP="005757C9">
      <w:pPr>
        <w:tabs>
          <w:tab w:val="left" w:pos="3269"/>
        </w:tabs>
        <w:rPr>
          <w:b/>
          <w:sz w:val="24"/>
          <w:szCs w:val="24"/>
        </w:rPr>
      </w:pPr>
      <w:r w:rsidRPr="00277123">
        <w:rPr>
          <w:b/>
          <w:sz w:val="24"/>
          <w:szCs w:val="24"/>
        </w:rPr>
        <w:t>Course Description:</w:t>
      </w:r>
    </w:p>
    <w:p w14:paraId="2E4298AB" w14:textId="77777777" w:rsidR="0033119D" w:rsidRDefault="0033119D" w:rsidP="005757C9">
      <w:pPr>
        <w:tabs>
          <w:tab w:val="left" w:pos="3269"/>
        </w:tabs>
      </w:pPr>
      <w:r w:rsidRPr="0033119D">
        <w:t>This hands-on course covers the application of financial software tools and financial modeling.  You will be exposed to real world applications used in corporate finance, investment banking, private equity, and asset management.   You will complete and apply models relating to various finance topics such as: forecasting, project analysis, capital budgeting, financial statement analysis, intrinsic valuation, and portfolio management.</w:t>
      </w:r>
    </w:p>
    <w:p w14:paraId="4BE7B40F" w14:textId="77777777" w:rsidR="005757C9" w:rsidRPr="00005167" w:rsidRDefault="005757C9" w:rsidP="005757C9">
      <w:pPr>
        <w:tabs>
          <w:tab w:val="left" w:pos="3269"/>
        </w:tabs>
        <w:rPr>
          <w:sz w:val="16"/>
          <w:szCs w:val="16"/>
        </w:rPr>
      </w:pPr>
    </w:p>
    <w:p w14:paraId="12F3786C" w14:textId="77777777" w:rsidR="005757C9" w:rsidRDefault="005757C9" w:rsidP="005757C9">
      <w:pPr>
        <w:tabs>
          <w:tab w:val="left" w:pos="3269"/>
        </w:tabs>
      </w:pPr>
      <w:r w:rsidRPr="00277123">
        <w:t xml:space="preserve">Prerequisites: </w:t>
      </w:r>
      <w:r w:rsidR="0033119D">
        <w:t>Admission to the Finance Honors Program</w:t>
      </w:r>
    </w:p>
    <w:p w14:paraId="215F79F7" w14:textId="77777777" w:rsidR="005757C9" w:rsidRDefault="005757C9" w:rsidP="005757C9">
      <w:pPr>
        <w:tabs>
          <w:tab w:val="left" w:pos="3269"/>
        </w:tabs>
        <w:rPr>
          <w:sz w:val="16"/>
          <w:szCs w:val="16"/>
        </w:rPr>
      </w:pPr>
    </w:p>
    <w:p w14:paraId="66D6AB15" w14:textId="77777777" w:rsidR="0033119D" w:rsidRPr="0033119D" w:rsidRDefault="0033119D" w:rsidP="0033119D">
      <w:pPr>
        <w:spacing w:line="276" w:lineRule="auto"/>
        <w:rPr>
          <w:rFonts w:cs="Arial"/>
          <w:b/>
          <w:sz w:val="24"/>
          <w:szCs w:val="24"/>
        </w:rPr>
      </w:pPr>
      <w:r w:rsidRPr="0033119D">
        <w:rPr>
          <w:rFonts w:cs="Arial"/>
          <w:b/>
          <w:sz w:val="24"/>
          <w:szCs w:val="24"/>
        </w:rPr>
        <w:t>Course Objectives</w:t>
      </w:r>
      <w:r>
        <w:rPr>
          <w:rFonts w:cs="Arial"/>
          <w:b/>
          <w:sz w:val="24"/>
          <w:szCs w:val="24"/>
        </w:rPr>
        <w:t>:</w:t>
      </w:r>
    </w:p>
    <w:p w14:paraId="546E20DD" w14:textId="77777777" w:rsidR="0033119D" w:rsidRPr="0033119D" w:rsidRDefault="0033119D" w:rsidP="0033119D">
      <w:pPr>
        <w:spacing w:line="276" w:lineRule="auto"/>
        <w:rPr>
          <w:rFonts w:cs="Arial"/>
        </w:rPr>
      </w:pPr>
      <w:r w:rsidRPr="0033119D">
        <w:rPr>
          <w:rFonts w:cs="Arial"/>
        </w:rPr>
        <w:t>This course will utilize Excel, Bloombe</w:t>
      </w:r>
      <w:r w:rsidR="004A3BF0">
        <w:rPr>
          <w:rFonts w:cs="Arial"/>
        </w:rPr>
        <w:t>rg, Capital IQ, Morningstar, and other financial market data software</w:t>
      </w:r>
      <w:r w:rsidRPr="0033119D">
        <w:rPr>
          <w:rFonts w:cs="Arial"/>
        </w:rPr>
        <w:t>.  The course objectives include:</w:t>
      </w:r>
    </w:p>
    <w:p w14:paraId="1FEFAF21" w14:textId="77777777" w:rsidR="0033119D" w:rsidRPr="0033119D" w:rsidRDefault="0033119D" w:rsidP="0033119D">
      <w:pPr>
        <w:numPr>
          <w:ilvl w:val="0"/>
          <w:numId w:val="1"/>
        </w:numPr>
        <w:spacing w:line="276" w:lineRule="auto"/>
        <w:contextualSpacing/>
        <w:rPr>
          <w:rFonts w:cs="Arial"/>
        </w:rPr>
      </w:pPr>
      <w:r w:rsidRPr="0033119D">
        <w:rPr>
          <w:rFonts w:cs="Arial"/>
        </w:rPr>
        <w:t>Efficiently find and download financial data</w:t>
      </w:r>
    </w:p>
    <w:p w14:paraId="491E4D98" w14:textId="77777777" w:rsidR="0033119D" w:rsidRPr="0033119D" w:rsidRDefault="0033119D" w:rsidP="0033119D">
      <w:pPr>
        <w:numPr>
          <w:ilvl w:val="0"/>
          <w:numId w:val="1"/>
        </w:numPr>
        <w:spacing w:line="276" w:lineRule="auto"/>
        <w:contextualSpacing/>
        <w:rPr>
          <w:rFonts w:cs="Arial"/>
        </w:rPr>
      </w:pPr>
      <w:r w:rsidRPr="0033119D">
        <w:rPr>
          <w:rFonts w:cs="Arial"/>
        </w:rPr>
        <w:t>Develop financial modeling skills</w:t>
      </w:r>
    </w:p>
    <w:p w14:paraId="2A939A6F" w14:textId="77777777" w:rsidR="0033119D" w:rsidRPr="0033119D" w:rsidRDefault="0033119D" w:rsidP="0033119D">
      <w:pPr>
        <w:numPr>
          <w:ilvl w:val="0"/>
          <w:numId w:val="1"/>
        </w:numPr>
        <w:spacing w:line="276" w:lineRule="auto"/>
        <w:contextualSpacing/>
        <w:rPr>
          <w:rFonts w:cs="Arial"/>
        </w:rPr>
      </w:pPr>
      <w:r w:rsidRPr="0033119D">
        <w:rPr>
          <w:rFonts w:cs="Arial"/>
        </w:rPr>
        <w:t>Ability to analyze and manipulate data</w:t>
      </w:r>
    </w:p>
    <w:p w14:paraId="7B986279" w14:textId="77777777" w:rsidR="0033119D" w:rsidRPr="0033119D" w:rsidRDefault="0033119D" w:rsidP="0033119D">
      <w:pPr>
        <w:numPr>
          <w:ilvl w:val="0"/>
          <w:numId w:val="1"/>
        </w:numPr>
        <w:spacing w:line="276" w:lineRule="auto"/>
        <w:contextualSpacing/>
        <w:rPr>
          <w:rFonts w:cs="Arial"/>
        </w:rPr>
      </w:pPr>
      <w:r w:rsidRPr="0033119D">
        <w:rPr>
          <w:rFonts w:cs="Arial"/>
        </w:rPr>
        <w:t>Deal with uncertainty and imperfect information</w:t>
      </w:r>
    </w:p>
    <w:p w14:paraId="2006A71B" w14:textId="77777777" w:rsidR="0033119D" w:rsidRPr="0033119D" w:rsidRDefault="0033119D" w:rsidP="0033119D">
      <w:pPr>
        <w:numPr>
          <w:ilvl w:val="0"/>
          <w:numId w:val="1"/>
        </w:numPr>
        <w:spacing w:line="276" w:lineRule="auto"/>
        <w:contextualSpacing/>
        <w:rPr>
          <w:rFonts w:cs="Arial"/>
        </w:rPr>
      </w:pPr>
      <w:r w:rsidRPr="0033119D">
        <w:rPr>
          <w:rFonts w:cs="Arial"/>
        </w:rPr>
        <w:t>Draw conclusions based on data analysis</w:t>
      </w:r>
    </w:p>
    <w:p w14:paraId="3A45870F" w14:textId="77777777" w:rsidR="0033119D" w:rsidRPr="007A5C71" w:rsidRDefault="0033119D" w:rsidP="005757C9">
      <w:pPr>
        <w:tabs>
          <w:tab w:val="left" w:pos="3269"/>
        </w:tabs>
        <w:rPr>
          <w:sz w:val="16"/>
          <w:szCs w:val="16"/>
        </w:rPr>
      </w:pPr>
    </w:p>
    <w:p w14:paraId="185B1288" w14:textId="77777777" w:rsidR="005757C9" w:rsidRDefault="005757C9" w:rsidP="005757C9">
      <w:pPr>
        <w:tabs>
          <w:tab w:val="left" w:pos="3269"/>
        </w:tabs>
        <w:rPr>
          <w:b/>
          <w:sz w:val="24"/>
          <w:szCs w:val="24"/>
        </w:rPr>
      </w:pPr>
      <w:r w:rsidRPr="00277123">
        <w:rPr>
          <w:b/>
          <w:sz w:val="24"/>
          <w:szCs w:val="24"/>
        </w:rPr>
        <w:t>Text and Materials (Required):</w:t>
      </w:r>
      <w:r w:rsidR="00282627">
        <w:rPr>
          <w:b/>
          <w:sz w:val="24"/>
          <w:szCs w:val="24"/>
        </w:rPr>
        <w:t xml:space="preserve"> </w:t>
      </w:r>
    </w:p>
    <w:p w14:paraId="2D34A4E4" w14:textId="56F8AE07" w:rsidR="008B300A" w:rsidRPr="0099162D" w:rsidRDefault="7A1C76FE" w:rsidP="005757C9">
      <w:pPr>
        <w:tabs>
          <w:tab w:val="left" w:pos="3269"/>
        </w:tabs>
        <w:rPr>
          <w:sz w:val="24"/>
          <w:szCs w:val="24"/>
        </w:rPr>
      </w:pPr>
      <w:r w:rsidRPr="6D32032C">
        <w:rPr>
          <w:sz w:val="24"/>
          <w:szCs w:val="24"/>
        </w:rPr>
        <w:t xml:space="preserve">Case studies - </w:t>
      </w:r>
      <w:hyperlink r:id="rId8">
        <w:r w:rsidRPr="6D32032C">
          <w:rPr>
            <w:rStyle w:val="Hyperlink"/>
            <w:sz w:val="24"/>
            <w:szCs w:val="24"/>
          </w:rPr>
          <w:t>https://hbsp.harvard.edu/import/1321232</w:t>
        </w:r>
      </w:hyperlink>
      <w:r w:rsidRPr="6D32032C">
        <w:rPr>
          <w:sz w:val="24"/>
          <w:szCs w:val="24"/>
        </w:rPr>
        <w:t xml:space="preserve"> </w:t>
      </w:r>
      <w:r w:rsidR="00282627" w:rsidRPr="6D32032C">
        <w:rPr>
          <w:sz w:val="24"/>
          <w:szCs w:val="24"/>
        </w:rPr>
        <w:t xml:space="preserve"> </w:t>
      </w:r>
    </w:p>
    <w:p w14:paraId="2B8EE837" w14:textId="789A776C" w:rsidR="6D32032C" w:rsidRDefault="6D32032C" w:rsidP="6D32032C">
      <w:pPr>
        <w:tabs>
          <w:tab w:val="left" w:pos="3269"/>
        </w:tabs>
      </w:pPr>
    </w:p>
    <w:p w14:paraId="2BB448F4" w14:textId="24C3F074" w:rsidR="002C6E39" w:rsidRPr="00277123" w:rsidRDefault="008B300A" w:rsidP="005757C9">
      <w:pPr>
        <w:tabs>
          <w:tab w:val="left" w:pos="3269"/>
        </w:tabs>
      </w:pPr>
      <w:r>
        <w:t xml:space="preserve">Additional Course Materials will be posted on </w:t>
      </w:r>
      <w:r w:rsidR="005D6921">
        <w:t>Carmen</w:t>
      </w:r>
    </w:p>
    <w:p w14:paraId="3E5F9015" w14:textId="77777777" w:rsidR="00A74CDD" w:rsidRPr="00005167" w:rsidRDefault="00A74CDD">
      <w:pPr>
        <w:rPr>
          <w:sz w:val="16"/>
          <w:szCs w:val="16"/>
        </w:rPr>
      </w:pPr>
    </w:p>
    <w:p w14:paraId="715FB301" w14:textId="77777777" w:rsidR="00294C9A" w:rsidRPr="005757C9" w:rsidRDefault="00294C9A" w:rsidP="00294C9A">
      <w:pPr>
        <w:tabs>
          <w:tab w:val="left" w:pos="3269"/>
        </w:tabs>
        <w:rPr>
          <w:sz w:val="16"/>
          <w:szCs w:val="16"/>
        </w:rPr>
      </w:pPr>
      <w:r w:rsidRPr="005757C9">
        <w:rPr>
          <w:sz w:val="16"/>
          <w:szCs w:val="16"/>
        </w:rPr>
        <w:t>The following schedule is tentative and subject to change based on how the class progresses.</w:t>
      </w:r>
    </w:p>
    <w:tbl>
      <w:tblPr>
        <w:tblW w:w="9825" w:type="dxa"/>
        <w:tblCellMar>
          <w:left w:w="0" w:type="dxa"/>
          <w:right w:w="0" w:type="dxa"/>
        </w:tblCellMar>
        <w:tblLook w:val="04A0" w:firstRow="1" w:lastRow="0" w:firstColumn="1" w:lastColumn="0" w:noHBand="0" w:noVBand="1"/>
      </w:tblPr>
      <w:tblGrid>
        <w:gridCol w:w="735"/>
        <w:gridCol w:w="7020"/>
        <w:gridCol w:w="2070"/>
      </w:tblGrid>
      <w:tr w:rsidR="00294C9A" w:rsidRPr="00D41007" w14:paraId="054B4667" w14:textId="77777777" w:rsidTr="00551878">
        <w:trPr>
          <w:trHeight w:val="315"/>
        </w:trPr>
        <w:tc>
          <w:tcPr>
            <w:tcW w:w="735"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630FAA"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Week</w:t>
            </w:r>
          </w:p>
        </w:tc>
        <w:tc>
          <w:tcPr>
            <w:tcW w:w="702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5CF8F4" w14:textId="77777777" w:rsidR="00294C9A" w:rsidRPr="00D41007" w:rsidRDefault="00294C9A" w:rsidP="00551878">
            <w:pPr>
              <w:spacing w:line="276" w:lineRule="auto"/>
              <w:jc w:val="center"/>
              <w:rPr>
                <w:rFonts w:ascii="Calibri" w:eastAsia="Calibri" w:hAnsi="Calibri"/>
                <w:color w:val="000000"/>
                <w:sz w:val="20"/>
              </w:rPr>
            </w:pPr>
            <w:r w:rsidRPr="00D41007">
              <w:rPr>
                <w:rFonts w:ascii="Calibri" w:eastAsia="Calibri" w:hAnsi="Calibri"/>
                <w:color w:val="000000"/>
                <w:sz w:val="20"/>
              </w:rPr>
              <w:t>Topic</w:t>
            </w:r>
          </w:p>
        </w:tc>
        <w:tc>
          <w:tcPr>
            <w:tcW w:w="20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C7566D" w14:textId="77777777" w:rsidR="00294C9A" w:rsidRPr="00D41007" w:rsidRDefault="00294C9A" w:rsidP="00551878">
            <w:pPr>
              <w:spacing w:line="276" w:lineRule="auto"/>
              <w:jc w:val="center"/>
              <w:rPr>
                <w:rFonts w:ascii="Calibri" w:eastAsia="Calibri" w:hAnsi="Calibri"/>
                <w:color w:val="000000"/>
                <w:sz w:val="20"/>
              </w:rPr>
            </w:pPr>
            <w:r w:rsidRPr="00D41007">
              <w:rPr>
                <w:rFonts w:ascii="Calibri" w:eastAsia="Calibri" w:hAnsi="Calibri"/>
                <w:color w:val="000000"/>
                <w:sz w:val="20"/>
              </w:rPr>
              <w:t xml:space="preserve">Assignment </w:t>
            </w:r>
          </w:p>
        </w:tc>
      </w:tr>
      <w:tr w:rsidR="00294C9A" w:rsidRPr="00D41007" w14:paraId="22905B70"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3D896BD"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1</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71BA8C7" w14:textId="77777777" w:rsidR="00294C9A" w:rsidRDefault="00294C9A" w:rsidP="00551878">
            <w:pPr>
              <w:spacing w:line="276" w:lineRule="auto"/>
              <w:rPr>
                <w:rFonts w:ascii="Calibri" w:eastAsia="Calibri" w:hAnsi="Calibri"/>
                <w:color w:val="000000"/>
                <w:sz w:val="20"/>
              </w:rPr>
            </w:pPr>
            <w:r>
              <w:rPr>
                <w:rFonts w:ascii="Calibri" w:eastAsia="Calibri" w:hAnsi="Calibri"/>
                <w:color w:val="000000"/>
                <w:sz w:val="20"/>
              </w:rPr>
              <w:t>C</w:t>
            </w:r>
            <w:r w:rsidRPr="00D41007">
              <w:rPr>
                <w:rFonts w:ascii="Calibri" w:eastAsia="Calibri" w:hAnsi="Calibri"/>
                <w:color w:val="000000"/>
                <w:sz w:val="20"/>
              </w:rPr>
              <w:t>ourse overview</w:t>
            </w:r>
          </w:p>
          <w:p w14:paraId="1B26A526" w14:textId="77777777" w:rsidR="00294C9A" w:rsidRPr="00D41007" w:rsidRDefault="00294C9A" w:rsidP="00551878">
            <w:pPr>
              <w:spacing w:line="276" w:lineRule="auto"/>
              <w:rPr>
                <w:rFonts w:ascii="Calibri" w:eastAsia="Calibri" w:hAnsi="Calibri"/>
                <w:color w:val="000000"/>
                <w:sz w:val="20"/>
              </w:rPr>
            </w:pPr>
            <w:r>
              <w:rPr>
                <w:color w:val="000000"/>
                <w:sz w:val="20"/>
                <w:szCs w:val="20"/>
              </w:rPr>
              <w:t xml:space="preserve">Find – </w:t>
            </w:r>
            <w:r w:rsidRPr="00BD5C19">
              <w:rPr>
                <w:color w:val="000000"/>
                <w:sz w:val="20"/>
                <w:szCs w:val="20"/>
              </w:rPr>
              <w:t>EDGAR</w:t>
            </w:r>
            <w:r>
              <w:rPr>
                <w:color w:val="000000"/>
                <w:sz w:val="20"/>
                <w:szCs w:val="20"/>
              </w:rPr>
              <w:t>,</w:t>
            </w:r>
            <w:r w:rsidRPr="00BD5C19">
              <w:rPr>
                <w:color w:val="000000"/>
                <w:sz w:val="20"/>
                <w:szCs w:val="20"/>
              </w:rPr>
              <w:t xml:space="preserve"> Yahoo Finance, FINRA, FRED</w:t>
            </w:r>
            <w:r>
              <w:rPr>
                <w:color w:val="000000"/>
                <w:sz w:val="20"/>
                <w:szCs w:val="20"/>
              </w:rPr>
              <w:t xml:space="preserve">, FF, IBIS, NetAdvantage, Privco,  </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49A67E4" w14:textId="77777777" w:rsidR="00294C9A" w:rsidRPr="00D41007" w:rsidRDefault="00294C9A" w:rsidP="00551878">
            <w:pPr>
              <w:spacing w:line="276" w:lineRule="auto"/>
              <w:jc w:val="center"/>
              <w:rPr>
                <w:rFonts w:ascii="Calibri" w:eastAsia="Calibri" w:hAnsi="Calibri"/>
                <w:color w:val="000000"/>
                <w:sz w:val="20"/>
              </w:rPr>
            </w:pPr>
          </w:p>
        </w:tc>
      </w:tr>
      <w:tr w:rsidR="00294C9A" w14:paraId="647A1963"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710A7B7"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2</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FECAA7" w14:textId="77777777" w:rsidR="00294C9A" w:rsidRDefault="00294C9A" w:rsidP="00551878">
            <w:pPr>
              <w:spacing w:line="276" w:lineRule="auto"/>
              <w:rPr>
                <w:rFonts w:ascii="Calibri" w:eastAsia="Calibri" w:hAnsi="Calibri"/>
                <w:color w:val="000000"/>
                <w:sz w:val="20"/>
              </w:rPr>
            </w:pPr>
            <w:r>
              <w:rPr>
                <w:color w:val="000000"/>
                <w:sz w:val="20"/>
                <w:szCs w:val="20"/>
              </w:rPr>
              <w:t xml:space="preserve">Find -- ValueLine, </w:t>
            </w:r>
            <w:r w:rsidRPr="00BD5C19">
              <w:rPr>
                <w:color w:val="000000"/>
                <w:sz w:val="20"/>
                <w:szCs w:val="20"/>
              </w:rPr>
              <w:t>Morningstar</w:t>
            </w:r>
            <w:r>
              <w:rPr>
                <w:color w:val="000000"/>
                <w:sz w:val="20"/>
                <w:szCs w:val="20"/>
              </w:rPr>
              <w:t>, ETF.com, Estimize</w:t>
            </w:r>
          </w:p>
          <w:p w14:paraId="6DB16B31" w14:textId="77777777" w:rsidR="00294C9A" w:rsidRPr="00D41007" w:rsidRDefault="00294C9A" w:rsidP="00551878">
            <w:pPr>
              <w:spacing w:line="276" w:lineRule="auto"/>
              <w:rPr>
                <w:rFonts w:ascii="Calibri" w:eastAsia="Calibri" w:hAnsi="Calibri"/>
                <w:color w:val="000000"/>
                <w:sz w:val="20"/>
              </w:rPr>
            </w:pPr>
            <w:r>
              <w:rPr>
                <w:color w:val="000000"/>
                <w:sz w:val="20"/>
                <w:szCs w:val="20"/>
              </w:rPr>
              <w:t>Format – Basic Excel Formatting / Golden Rule / Graph &amp; Print</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A6A20D3" w14:textId="77777777" w:rsidR="00294C9A" w:rsidRPr="00D41007" w:rsidRDefault="00294C9A" w:rsidP="00551878">
            <w:pPr>
              <w:spacing w:line="276" w:lineRule="auto"/>
              <w:jc w:val="center"/>
              <w:rPr>
                <w:rFonts w:ascii="Calibri" w:eastAsia="Calibri" w:hAnsi="Calibri"/>
                <w:color w:val="000000"/>
                <w:sz w:val="20"/>
              </w:rPr>
            </w:pPr>
          </w:p>
        </w:tc>
      </w:tr>
      <w:tr w:rsidR="00294C9A" w:rsidRPr="005757C9" w14:paraId="1617AE47" w14:textId="77777777" w:rsidTr="00551878">
        <w:trPr>
          <w:trHeight w:val="315"/>
        </w:trPr>
        <w:tc>
          <w:tcPr>
            <w:tcW w:w="735"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B2CE9E5"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lastRenderedPageBreak/>
              <w:t>3</w:t>
            </w:r>
          </w:p>
        </w:tc>
        <w:tc>
          <w:tcPr>
            <w:tcW w:w="702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515C47E" w14:textId="77777777" w:rsidR="00294C9A" w:rsidRDefault="00294C9A" w:rsidP="00551878">
            <w:pPr>
              <w:spacing w:line="276" w:lineRule="auto"/>
              <w:rPr>
                <w:color w:val="000000"/>
                <w:sz w:val="20"/>
                <w:szCs w:val="20"/>
              </w:rPr>
            </w:pPr>
            <w:r>
              <w:rPr>
                <w:color w:val="000000"/>
                <w:sz w:val="20"/>
                <w:szCs w:val="20"/>
              </w:rPr>
              <w:t>Format – Format - Best practices in financial modeling</w:t>
            </w:r>
          </w:p>
          <w:p w14:paraId="6F1FE87E" w14:textId="77777777" w:rsidR="00294C9A" w:rsidRPr="00D41007" w:rsidRDefault="00294C9A" w:rsidP="00551878">
            <w:pPr>
              <w:spacing w:line="276" w:lineRule="auto"/>
              <w:rPr>
                <w:rFonts w:ascii="Calibri" w:eastAsia="Calibri" w:hAnsi="Calibri"/>
                <w:color w:val="000000"/>
                <w:sz w:val="20"/>
              </w:rPr>
            </w:pPr>
            <w:r>
              <w:rPr>
                <w:color w:val="000000"/>
                <w:sz w:val="20"/>
                <w:szCs w:val="20"/>
              </w:rPr>
              <w:t>Formula – Net Present Value, Logic, Regression, Scenario/Sensitivity</w:t>
            </w:r>
          </w:p>
        </w:tc>
        <w:tc>
          <w:tcPr>
            <w:tcW w:w="207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62717FE" w14:textId="77777777" w:rsidR="00294C9A" w:rsidRDefault="00294C9A" w:rsidP="00551878">
            <w:pPr>
              <w:spacing w:line="276" w:lineRule="auto"/>
              <w:jc w:val="center"/>
              <w:rPr>
                <w:color w:val="000000"/>
                <w:sz w:val="20"/>
                <w:szCs w:val="20"/>
              </w:rPr>
            </w:pPr>
            <w:r>
              <w:rPr>
                <w:color w:val="000000"/>
                <w:sz w:val="20"/>
                <w:szCs w:val="20"/>
              </w:rPr>
              <w:t>Carmen Quiz Due</w:t>
            </w:r>
          </w:p>
          <w:p w14:paraId="14D04C9C" w14:textId="77777777" w:rsidR="00294C9A" w:rsidRPr="00D41007" w:rsidRDefault="00294C9A" w:rsidP="00551878">
            <w:pPr>
              <w:spacing w:line="276" w:lineRule="auto"/>
              <w:jc w:val="center"/>
              <w:rPr>
                <w:rFonts w:ascii="Calibri" w:eastAsia="Calibri" w:hAnsi="Calibri"/>
                <w:color w:val="000000"/>
                <w:sz w:val="20"/>
              </w:rPr>
            </w:pPr>
          </w:p>
        </w:tc>
      </w:tr>
      <w:tr w:rsidR="00294C9A" w:rsidRPr="005757C9" w14:paraId="59FF17D6" w14:textId="77777777" w:rsidTr="00551878">
        <w:trPr>
          <w:trHeight w:val="315"/>
        </w:trPr>
        <w:tc>
          <w:tcPr>
            <w:tcW w:w="735"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58596B6"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4</w:t>
            </w:r>
          </w:p>
        </w:tc>
        <w:tc>
          <w:tcPr>
            <w:tcW w:w="702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0F39172" w14:textId="77777777" w:rsidR="00294C9A" w:rsidRDefault="00294C9A" w:rsidP="00551878">
            <w:pPr>
              <w:spacing w:line="276" w:lineRule="auto"/>
              <w:rPr>
                <w:rFonts w:ascii="Calibri" w:eastAsia="Calibri" w:hAnsi="Calibri"/>
                <w:color w:val="000000"/>
                <w:sz w:val="20"/>
              </w:rPr>
            </w:pPr>
            <w:r>
              <w:rPr>
                <w:color w:val="000000"/>
                <w:sz w:val="20"/>
                <w:szCs w:val="20"/>
              </w:rPr>
              <w:t>Formula – Net Present Value, Logic, Regression, Scenario/Sensitivity (con’t)</w:t>
            </w:r>
          </w:p>
          <w:p w14:paraId="6B1F8745" w14:textId="77777777" w:rsidR="00294C9A" w:rsidRPr="00D41007" w:rsidRDefault="00294C9A" w:rsidP="00551878">
            <w:pPr>
              <w:spacing w:line="276" w:lineRule="auto"/>
              <w:rPr>
                <w:rFonts w:ascii="Calibri" w:eastAsia="Calibri" w:hAnsi="Calibri"/>
                <w:color w:val="000000"/>
                <w:sz w:val="20"/>
              </w:rPr>
            </w:pPr>
            <w:r>
              <w:rPr>
                <w:color w:val="000000"/>
                <w:sz w:val="20"/>
                <w:szCs w:val="20"/>
              </w:rPr>
              <w:t>Formula – Simple DCF</w:t>
            </w:r>
          </w:p>
        </w:tc>
        <w:tc>
          <w:tcPr>
            <w:tcW w:w="207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3955F7F" w14:textId="77777777" w:rsidR="00294C9A" w:rsidRDefault="00294C9A" w:rsidP="00551878">
            <w:pPr>
              <w:spacing w:line="276" w:lineRule="auto"/>
              <w:jc w:val="center"/>
              <w:rPr>
                <w:noProof/>
                <w:color w:val="000000"/>
                <w:sz w:val="20"/>
                <w:szCs w:val="20"/>
              </w:rPr>
            </w:pPr>
            <w:r>
              <w:rPr>
                <w:color w:val="000000"/>
                <w:sz w:val="20"/>
                <w:szCs w:val="20"/>
              </w:rPr>
              <w:t xml:space="preserve">Carmen Quiz (in-class) </w:t>
            </w:r>
          </w:p>
          <w:p w14:paraId="047D67AD" w14:textId="77777777" w:rsidR="00294C9A" w:rsidRPr="00D41007" w:rsidRDefault="00294C9A" w:rsidP="00551878">
            <w:pPr>
              <w:spacing w:line="276" w:lineRule="auto"/>
              <w:jc w:val="center"/>
              <w:rPr>
                <w:rFonts w:ascii="Calibri" w:eastAsia="Calibri" w:hAnsi="Calibri"/>
                <w:color w:val="000000"/>
                <w:sz w:val="20"/>
              </w:rPr>
            </w:pPr>
          </w:p>
        </w:tc>
      </w:tr>
      <w:tr w:rsidR="00294C9A" w:rsidRPr="005757C9" w14:paraId="7F96ED24" w14:textId="77777777" w:rsidTr="00551878">
        <w:trPr>
          <w:trHeight w:val="315"/>
        </w:trPr>
        <w:tc>
          <w:tcPr>
            <w:tcW w:w="735"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424B3A"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5</w:t>
            </w:r>
          </w:p>
        </w:tc>
        <w:tc>
          <w:tcPr>
            <w:tcW w:w="7020"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4CCBC8" w14:textId="77777777" w:rsidR="00294C9A" w:rsidRDefault="00294C9A" w:rsidP="00551878">
            <w:pPr>
              <w:spacing w:line="276" w:lineRule="auto"/>
              <w:rPr>
                <w:rFonts w:ascii="Calibri" w:eastAsia="Calibri" w:hAnsi="Calibri"/>
                <w:color w:val="000000"/>
                <w:sz w:val="20"/>
              </w:rPr>
            </w:pPr>
            <w:r>
              <w:rPr>
                <w:color w:val="000000"/>
                <w:sz w:val="20"/>
                <w:szCs w:val="20"/>
              </w:rPr>
              <w:t>Formula Quiz</w:t>
            </w:r>
          </w:p>
          <w:p w14:paraId="39329E15" w14:textId="77777777" w:rsidR="00294C9A" w:rsidRPr="00D41007" w:rsidRDefault="00294C9A" w:rsidP="00551878">
            <w:pPr>
              <w:spacing w:line="276" w:lineRule="auto"/>
              <w:rPr>
                <w:rFonts w:ascii="Calibri" w:eastAsia="Calibri" w:hAnsi="Calibri"/>
                <w:color w:val="000000"/>
                <w:sz w:val="20"/>
              </w:rPr>
            </w:pPr>
            <w:r>
              <w:rPr>
                <w:color w:val="000000"/>
                <w:sz w:val="20"/>
                <w:szCs w:val="20"/>
              </w:rPr>
              <w:t>Saito Solar case: Discounted cash flow model</w:t>
            </w:r>
          </w:p>
        </w:tc>
        <w:tc>
          <w:tcPr>
            <w:tcW w:w="2070"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5E77114" w14:textId="77777777" w:rsidR="00294C9A" w:rsidRDefault="00294C9A" w:rsidP="00551878">
            <w:pPr>
              <w:spacing w:line="276" w:lineRule="auto"/>
              <w:jc w:val="center"/>
              <w:rPr>
                <w:color w:val="000000"/>
                <w:sz w:val="20"/>
                <w:szCs w:val="20"/>
              </w:rPr>
            </w:pPr>
            <w:r>
              <w:rPr>
                <w:color w:val="000000"/>
                <w:sz w:val="20"/>
                <w:szCs w:val="20"/>
              </w:rPr>
              <w:t>Saito Solar Case Due</w:t>
            </w:r>
          </w:p>
          <w:p w14:paraId="7AEA0A38" w14:textId="77777777" w:rsidR="00294C9A" w:rsidRPr="00D41007" w:rsidRDefault="00294C9A" w:rsidP="00551878">
            <w:pPr>
              <w:spacing w:line="276" w:lineRule="auto"/>
              <w:jc w:val="center"/>
              <w:rPr>
                <w:rFonts w:ascii="Calibri" w:eastAsia="Calibri" w:hAnsi="Calibri"/>
                <w:color w:val="000000"/>
                <w:sz w:val="20"/>
              </w:rPr>
            </w:pPr>
            <w:r>
              <w:rPr>
                <w:color w:val="000000"/>
                <w:sz w:val="20"/>
                <w:szCs w:val="20"/>
              </w:rPr>
              <w:t>Install Anaconda</w:t>
            </w:r>
          </w:p>
        </w:tc>
      </w:tr>
      <w:tr w:rsidR="00294C9A" w:rsidRPr="005757C9" w14:paraId="08058B89"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14865F"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6</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A73D3F0" w14:textId="77777777" w:rsidR="00294C9A" w:rsidRDefault="00294C9A" w:rsidP="00551878">
            <w:pPr>
              <w:spacing w:line="276" w:lineRule="auto"/>
              <w:rPr>
                <w:rFonts w:ascii="Calibri" w:eastAsia="Calibri" w:hAnsi="Calibri"/>
                <w:color w:val="000000"/>
                <w:sz w:val="20"/>
              </w:rPr>
            </w:pPr>
            <w:r>
              <w:rPr>
                <w:color w:val="000000"/>
                <w:sz w:val="20"/>
                <w:szCs w:val="20"/>
              </w:rPr>
              <w:t>Python – Basics</w:t>
            </w:r>
            <w:r w:rsidRPr="00D41007">
              <w:rPr>
                <w:rFonts w:ascii="Calibri" w:eastAsia="Calibri" w:hAnsi="Calibri"/>
                <w:color w:val="000000"/>
                <w:sz w:val="20"/>
              </w:rPr>
              <w:t xml:space="preserve"> </w:t>
            </w:r>
          </w:p>
          <w:p w14:paraId="68966777" w14:textId="77777777" w:rsidR="00294C9A" w:rsidRPr="00D41007" w:rsidRDefault="00294C9A" w:rsidP="00551878">
            <w:pPr>
              <w:spacing w:line="276" w:lineRule="auto"/>
              <w:rPr>
                <w:rFonts w:ascii="Calibri" w:eastAsia="Calibri" w:hAnsi="Calibri"/>
                <w:color w:val="000000"/>
                <w:sz w:val="20"/>
              </w:rPr>
            </w:pPr>
            <w:r>
              <w:rPr>
                <w:color w:val="000000"/>
                <w:sz w:val="20"/>
                <w:szCs w:val="20"/>
              </w:rPr>
              <w:t>Python – Pandas, Numpy, FMP/FRED API</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D0C32CB" w14:textId="77777777" w:rsidR="00294C9A" w:rsidRPr="00D41007" w:rsidRDefault="00294C9A" w:rsidP="00551878">
            <w:pPr>
              <w:spacing w:line="276" w:lineRule="auto"/>
              <w:jc w:val="center"/>
              <w:rPr>
                <w:rFonts w:ascii="Calibri" w:eastAsia="Calibri" w:hAnsi="Calibri"/>
                <w:color w:val="000000"/>
                <w:sz w:val="20"/>
              </w:rPr>
            </w:pPr>
          </w:p>
        </w:tc>
      </w:tr>
      <w:tr w:rsidR="00294C9A" w14:paraId="3349F27A"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C6CEED" w14:textId="77777777" w:rsidR="00294C9A" w:rsidRPr="00D41007"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7</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0FD30DE" w14:textId="77777777" w:rsidR="00294C9A" w:rsidRDefault="00294C9A" w:rsidP="00551878">
            <w:pPr>
              <w:spacing w:line="276" w:lineRule="auto"/>
              <w:rPr>
                <w:color w:val="000000"/>
                <w:sz w:val="20"/>
                <w:szCs w:val="20"/>
              </w:rPr>
            </w:pPr>
            <w:r>
              <w:rPr>
                <w:color w:val="000000"/>
                <w:sz w:val="20"/>
                <w:szCs w:val="20"/>
              </w:rPr>
              <w:t>Python presentations</w:t>
            </w:r>
          </w:p>
          <w:p w14:paraId="0C48752A" w14:textId="77777777" w:rsidR="00294C9A" w:rsidRPr="00D41007" w:rsidRDefault="00294C9A" w:rsidP="00551878">
            <w:pPr>
              <w:spacing w:line="276" w:lineRule="auto"/>
              <w:rPr>
                <w:rFonts w:ascii="Calibri" w:eastAsia="Calibri" w:hAnsi="Calibri"/>
                <w:color w:val="000000"/>
                <w:sz w:val="20"/>
              </w:rPr>
            </w:pPr>
            <w:r>
              <w:rPr>
                <w:color w:val="000000"/>
                <w:sz w:val="20"/>
                <w:szCs w:val="20"/>
              </w:rPr>
              <w:t>Python presentations</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2C38ECB" w14:textId="77777777" w:rsidR="00294C9A" w:rsidRPr="00D41007" w:rsidRDefault="00294C9A" w:rsidP="00551878">
            <w:pPr>
              <w:spacing w:line="276" w:lineRule="auto"/>
              <w:jc w:val="center"/>
              <w:rPr>
                <w:rFonts w:ascii="Calibri" w:eastAsia="Calibri" w:hAnsi="Calibri"/>
                <w:color w:val="000000"/>
                <w:sz w:val="20"/>
              </w:rPr>
            </w:pPr>
            <w:r>
              <w:rPr>
                <w:color w:val="000000"/>
                <w:sz w:val="20"/>
                <w:szCs w:val="20"/>
              </w:rPr>
              <w:t>Python project presentations</w:t>
            </w:r>
          </w:p>
        </w:tc>
      </w:tr>
      <w:tr w:rsidR="00294C9A" w:rsidRPr="005757C9" w14:paraId="554BAA8C"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36E803B1" w14:textId="77777777" w:rsidR="00294C9A" w:rsidRDefault="00294C9A" w:rsidP="00551878">
            <w:pPr>
              <w:spacing w:line="276" w:lineRule="auto"/>
              <w:jc w:val="center"/>
              <w:rPr>
                <w:rFonts w:ascii="Calibri" w:eastAsia="Calibri" w:hAnsi="Calibri"/>
                <w:color w:val="000000"/>
                <w:sz w:val="20"/>
              </w:rPr>
            </w:pPr>
            <w:r>
              <w:rPr>
                <w:rFonts w:ascii="Calibri" w:eastAsia="Calibri" w:hAnsi="Calibri"/>
                <w:color w:val="000000"/>
                <w:sz w:val="20"/>
              </w:rPr>
              <w:t>8</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7DE2812D" w14:textId="77777777" w:rsidR="00294C9A"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Current state of the financial markets illustrated by market data</w:t>
            </w:r>
            <w:r>
              <w:rPr>
                <w:rFonts w:ascii="Calibri" w:eastAsia="Calibri" w:hAnsi="Calibri"/>
                <w:color w:val="000000"/>
                <w:sz w:val="20"/>
              </w:rPr>
              <w:t xml:space="preserve"> </w:t>
            </w:r>
          </w:p>
          <w:p w14:paraId="7582A06B" w14:textId="77777777" w:rsidR="00294C9A" w:rsidRDefault="00294C9A" w:rsidP="00551878">
            <w:pPr>
              <w:spacing w:line="276" w:lineRule="auto"/>
              <w:rPr>
                <w:rFonts w:ascii="Calibri" w:eastAsia="Calibri" w:hAnsi="Calibri"/>
                <w:color w:val="000000"/>
                <w:sz w:val="20"/>
              </w:rPr>
            </w:pPr>
            <w:r>
              <w:rPr>
                <w:rFonts w:ascii="Calibri" w:eastAsia="Calibri" w:hAnsi="Calibri"/>
                <w:color w:val="000000"/>
                <w:sz w:val="20"/>
              </w:rPr>
              <w:t>Library Datasets</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2F51197D" w14:textId="77777777" w:rsidR="00294C9A" w:rsidRPr="00D41007" w:rsidRDefault="00294C9A" w:rsidP="00551878">
            <w:pPr>
              <w:spacing w:line="276" w:lineRule="auto"/>
              <w:jc w:val="center"/>
              <w:rPr>
                <w:rFonts w:ascii="Calibri" w:eastAsia="Calibri" w:hAnsi="Calibri"/>
                <w:color w:val="000000"/>
                <w:sz w:val="20"/>
              </w:rPr>
            </w:pPr>
          </w:p>
        </w:tc>
      </w:tr>
      <w:tr w:rsidR="00294C9A" w:rsidRPr="005757C9" w14:paraId="7E889DF4"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52DAAA67" w14:textId="77777777" w:rsidR="00294C9A" w:rsidRPr="005757C9" w:rsidRDefault="00294C9A" w:rsidP="00551878">
            <w:pPr>
              <w:spacing w:line="276" w:lineRule="auto"/>
              <w:jc w:val="center"/>
              <w:rPr>
                <w:color w:val="000000"/>
                <w:sz w:val="20"/>
                <w:szCs w:val="20"/>
              </w:rPr>
            </w:pPr>
            <w:r>
              <w:rPr>
                <w:color w:val="000000"/>
                <w:sz w:val="20"/>
                <w:szCs w:val="20"/>
              </w:rPr>
              <w:t>9</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29C820B0" w14:textId="77777777" w:rsidR="00294C9A"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B</w:t>
            </w:r>
            <w:r>
              <w:rPr>
                <w:rFonts w:ascii="Calibri" w:eastAsia="Calibri" w:hAnsi="Calibri"/>
                <w:color w:val="000000"/>
                <w:sz w:val="20"/>
              </w:rPr>
              <w:t>loomberg Introduction &amp; Navigation</w:t>
            </w:r>
          </w:p>
          <w:p w14:paraId="7D9ACFA8" w14:textId="77777777" w:rsidR="00294C9A" w:rsidRPr="005757C9" w:rsidRDefault="00294C9A" w:rsidP="00551878">
            <w:pPr>
              <w:spacing w:line="276" w:lineRule="auto"/>
              <w:rPr>
                <w:color w:val="000000"/>
                <w:sz w:val="20"/>
                <w:szCs w:val="20"/>
              </w:rPr>
            </w:pPr>
            <w:r w:rsidRPr="00D41007">
              <w:rPr>
                <w:rFonts w:ascii="Calibri" w:eastAsia="Calibri" w:hAnsi="Calibri"/>
                <w:color w:val="000000"/>
                <w:sz w:val="20"/>
              </w:rPr>
              <w:t xml:space="preserve">Bloomberg Functionality: </w:t>
            </w:r>
            <w:r>
              <w:rPr>
                <w:rFonts w:ascii="Calibri" w:eastAsia="Calibri" w:hAnsi="Calibri"/>
                <w:color w:val="000000"/>
                <w:sz w:val="20"/>
              </w:rPr>
              <w:t>News &amp; Industry</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71D6A6D" w14:textId="77777777" w:rsidR="00294C9A" w:rsidRPr="005757C9" w:rsidRDefault="00294C9A" w:rsidP="00551878">
            <w:pPr>
              <w:spacing w:line="276" w:lineRule="auto"/>
              <w:jc w:val="center"/>
              <w:rPr>
                <w:color w:val="000000"/>
                <w:sz w:val="20"/>
                <w:szCs w:val="20"/>
              </w:rPr>
            </w:pPr>
          </w:p>
        </w:tc>
      </w:tr>
      <w:tr w:rsidR="00294C9A" w:rsidRPr="005757C9" w14:paraId="6D13266C"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5A2088FC" w14:textId="77777777" w:rsidR="00294C9A" w:rsidRDefault="00294C9A" w:rsidP="00551878">
            <w:pPr>
              <w:spacing w:line="276" w:lineRule="auto"/>
              <w:jc w:val="center"/>
              <w:rPr>
                <w:color w:val="000000"/>
                <w:sz w:val="20"/>
                <w:szCs w:val="20"/>
              </w:rPr>
            </w:pPr>
            <w:r>
              <w:rPr>
                <w:color w:val="000000"/>
                <w:sz w:val="20"/>
                <w:szCs w:val="20"/>
              </w:rPr>
              <w:t>10</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2D340264" w14:textId="77777777" w:rsidR="00294C9A"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 xml:space="preserve">Bloomberg Functionality: </w:t>
            </w:r>
            <w:r>
              <w:rPr>
                <w:rFonts w:ascii="Calibri" w:eastAsia="Calibri" w:hAnsi="Calibri"/>
                <w:color w:val="000000"/>
                <w:sz w:val="20"/>
              </w:rPr>
              <w:t>Equity</w:t>
            </w:r>
          </w:p>
          <w:p w14:paraId="3F4C7DCF" w14:textId="77777777" w:rsidR="00294C9A" w:rsidRDefault="00294C9A" w:rsidP="00551878">
            <w:pPr>
              <w:spacing w:line="276" w:lineRule="auto"/>
              <w:rPr>
                <w:color w:val="000000"/>
                <w:sz w:val="20"/>
                <w:szCs w:val="20"/>
              </w:rPr>
            </w:pPr>
            <w:r w:rsidRPr="00D41007">
              <w:rPr>
                <w:rFonts w:ascii="Calibri" w:eastAsia="Calibri" w:hAnsi="Calibri"/>
                <w:color w:val="000000"/>
                <w:sz w:val="20"/>
              </w:rPr>
              <w:t>Bloomberg Functionality</w:t>
            </w:r>
            <w:r>
              <w:rPr>
                <w:rFonts w:ascii="Calibri" w:eastAsia="Calibri" w:hAnsi="Calibri"/>
                <w:color w:val="000000"/>
                <w:sz w:val="20"/>
              </w:rPr>
              <w:t>: Fixed Income</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748352FA" w14:textId="77777777" w:rsidR="00294C9A" w:rsidRDefault="00294C9A" w:rsidP="00551878">
            <w:pPr>
              <w:spacing w:line="276" w:lineRule="auto"/>
              <w:jc w:val="center"/>
              <w:rPr>
                <w:color w:val="000000"/>
                <w:sz w:val="20"/>
                <w:szCs w:val="20"/>
              </w:rPr>
            </w:pPr>
          </w:p>
        </w:tc>
      </w:tr>
      <w:tr w:rsidR="00294C9A" w:rsidRPr="005757C9" w14:paraId="518117FA"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12B5E2C4" w14:textId="77777777" w:rsidR="00294C9A" w:rsidRPr="005757C9" w:rsidRDefault="00294C9A" w:rsidP="00551878">
            <w:pPr>
              <w:spacing w:line="276" w:lineRule="auto"/>
              <w:jc w:val="center"/>
              <w:rPr>
                <w:color w:val="000000"/>
                <w:sz w:val="20"/>
                <w:szCs w:val="20"/>
              </w:rPr>
            </w:pPr>
            <w:r>
              <w:rPr>
                <w:color w:val="000000"/>
                <w:sz w:val="20"/>
                <w:szCs w:val="20"/>
              </w:rPr>
              <w:t>11</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66C93179" w14:textId="77777777" w:rsidR="00294C9A" w:rsidRDefault="00294C9A" w:rsidP="00551878">
            <w:pPr>
              <w:spacing w:line="276" w:lineRule="auto"/>
              <w:rPr>
                <w:color w:val="000000"/>
                <w:sz w:val="20"/>
                <w:szCs w:val="20"/>
              </w:rPr>
            </w:pPr>
            <w:r w:rsidRPr="00D41007">
              <w:rPr>
                <w:rFonts w:ascii="Calibri" w:eastAsia="Calibri" w:hAnsi="Calibri"/>
                <w:color w:val="000000"/>
                <w:sz w:val="20"/>
              </w:rPr>
              <w:t>Industry &amp; Company Analysis Project Presentations</w:t>
            </w:r>
            <w:r>
              <w:rPr>
                <w:color w:val="000000"/>
                <w:sz w:val="20"/>
                <w:szCs w:val="20"/>
              </w:rPr>
              <w:t xml:space="preserve"> </w:t>
            </w:r>
          </w:p>
          <w:p w14:paraId="4F7BD89B" w14:textId="77777777" w:rsidR="00294C9A" w:rsidRPr="00C01646"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Investing &amp; Fund Analysis</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5D31907E" w14:textId="77777777" w:rsidR="00294C9A" w:rsidRPr="00C01646" w:rsidRDefault="00294C9A" w:rsidP="00551878">
            <w:pPr>
              <w:spacing w:line="276" w:lineRule="auto"/>
              <w:jc w:val="center"/>
              <w:rPr>
                <w:rFonts w:ascii="Calibri" w:eastAsia="Calibri" w:hAnsi="Calibri"/>
                <w:color w:val="000000"/>
                <w:sz w:val="20"/>
              </w:rPr>
            </w:pPr>
            <w:r w:rsidRPr="00D41007">
              <w:rPr>
                <w:rFonts w:ascii="Calibri" w:eastAsia="Calibri" w:hAnsi="Calibri"/>
                <w:color w:val="000000"/>
                <w:sz w:val="20"/>
              </w:rPr>
              <w:t xml:space="preserve">Industry &amp; Company </w:t>
            </w:r>
            <w:r>
              <w:rPr>
                <w:rFonts w:ascii="Calibri" w:eastAsia="Calibri" w:hAnsi="Calibri"/>
                <w:color w:val="000000"/>
                <w:sz w:val="20"/>
              </w:rPr>
              <w:t xml:space="preserve">Analysis </w:t>
            </w:r>
            <w:r w:rsidRPr="00D41007">
              <w:rPr>
                <w:rFonts w:ascii="Calibri" w:eastAsia="Calibri" w:hAnsi="Calibri"/>
                <w:color w:val="000000"/>
                <w:sz w:val="20"/>
              </w:rPr>
              <w:t xml:space="preserve">Project </w:t>
            </w:r>
            <w:r>
              <w:rPr>
                <w:rFonts w:ascii="Calibri" w:eastAsia="Calibri" w:hAnsi="Calibri"/>
                <w:color w:val="000000"/>
                <w:sz w:val="20"/>
              </w:rPr>
              <w:t>Due</w:t>
            </w:r>
          </w:p>
        </w:tc>
      </w:tr>
      <w:tr w:rsidR="00294C9A" w:rsidRPr="005757C9" w14:paraId="01FA20EB"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6081A25E" w14:textId="77777777" w:rsidR="00294C9A" w:rsidRPr="005757C9" w:rsidRDefault="00294C9A" w:rsidP="00551878">
            <w:pPr>
              <w:spacing w:line="276" w:lineRule="auto"/>
              <w:jc w:val="center"/>
              <w:rPr>
                <w:color w:val="000000"/>
                <w:sz w:val="20"/>
                <w:szCs w:val="20"/>
              </w:rPr>
            </w:pPr>
            <w:r>
              <w:rPr>
                <w:color w:val="000000"/>
                <w:sz w:val="20"/>
                <w:szCs w:val="20"/>
              </w:rPr>
              <w:t>12</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683ED41A" w14:textId="77777777" w:rsidR="00294C9A"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Morningstar &amp; Bloomberg Portfolio Analytics</w:t>
            </w:r>
          </w:p>
          <w:p w14:paraId="4D5BCF1F" w14:textId="77777777" w:rsidR="00294C9A" w:rsidRPr="005757C9" w:rsidRDefault="00294C9A" w:rsidP="00551878">
            <w:pPr>
              <w:spacing w:line="276" w:lineRule="auto"/>
              <w:rPr>
                <w:color w:val="000000"/>
                <w:sz w:val="20"/>
                <w:szCs w:val="20"/>
              </w:rPr>
            </w:pPr>
            <w:r w:rsidRPr="00D41007">
              <w:rPr>
                <w:rFonts w:ascii="Calibri" w:eastAsia="Calibri" w:hAnsi="Calibri"/>
                <w:color w:val="000000"/>
                <w:sz w:val="20"/>
              </w:rPr>
              <w:t>Capital IQ</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5625C4C2" w14:textId="77777777" w:rsidR="00294C9A" w:rsidRPr="005757C9" w:rsidRDefault="00294C9A" w:rsidP="00551878">
            <w:pPr>
              <w:spacing w:line="276" w:lineRule="auto"/>
              <w:jc w:val="center"/>
              <w:rPr>
                <w:color w:val="000000"/>
                <w:sz w:val="20"/>
                <w:szCs w:val="20"/>
              </w:rPr>
            </w:pPr>
            <w:r w:rsidRPr="00D41007">
              <w:rPr>
                <w:rFonts w:ascii="Calibri" w:eastAsia="Calibri" w:hAnsi="Calibri"/>
                <w:color w:val="000000"/>
                <w:sz w:val="20"/>
              </w:rPr>
              <w:t>BMC Due</w:t>
            </w:r>
          </w:p>
        </w:tc>
      </w:tr>
      <w:tr w:rsidR="00294C9A" w:rsidRPr="005757C9" w14:paraId="204D80B8"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73CD940F" w14:textId="77777777" w:rsidR="00294C9A" w:rsidRPr="005757C9" w:rsidRDefault="00294C9A" w:rsidP="00551878">
            <w:pPr>
              <w:spacing w:line="276" w:lineRule="auto"/>
              <w:jc w:val="center"/>
              <w:rPr>
                <w:color w:val="000000"/>
                <w:sz w:val="20"/>
                <w:szCs w:val="20"/>
              </w:rPr>
            </w:pPr>
            <w:r>
              <w:rPr>
                <w:color w:val="000000"/>
                <w:sz w:val="20"/>
                <w:szCs w:val="20"/>
              </w:rPr>
              <w:t>13</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0B6089A" w14:textId="77777777" w:rsidR="00294C9A" w:rsidRDefault="00294C9A" w:rsidP="00551878">
            <w:pPr>
              <w:spacing w:line="276" w:lineRule="auto"/>
              <w:rPr>
                <w:rFonts w:ascii="Calibri" w:eastAsia="Calibri" w:hAnsi="Calibri"/>
                <w:color w:val="000000"/>
                <w:sz w:val="20"/>
              </w:rPr>
            </w:pPr>
            <w:r>
              <w:rPr>
                <w:rFonts w:ascii="Calibri" w:eastAsia="Calibri" w:hAnsi="Calibri"/>
                <w:color w:val="000000"/>
                <w:sz w:val="20"/>
              </w:rPr>
              <w:t>401K Project</w:t>
            </w:r>
            <w:r w:rsidRPr="00D41007">
              <w:rPr>
                <w:rFonts w:ascii="Calibri" w:eastAsia="Calibri" w:hAnsi="Calibri"/>
                <w:color w:val="000000"/>
                <w:sz w:val="20"/>
              </w:rPr>
              <w:t xml:space="preserve"> Presentations</w:t>
            </w:r>
          </w:p>
          <w:p w14:paraId="5274BDCE" w14:textId="77777777" w:rsidR="00294C9A"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 xml:space="preserve">Bloomberg Functionality: FX &amp; Commodities </w:t>
            </w:r>
          </w:p>
          <w:p w14:paraId="63A27B13" w14:textId="77777777" w:rsidR="00294C9A" w:rsidRPr="00C01646" w:rsidRDefault="00294C9A" w:rsidP="00551878">
            <w:pPr>
              <w:spacing w:line="276" w:lineRule="auto"/>
              <w:rPr>
                <w:rFonts w:ascii="Calibri" w:eastAsia="Calibri" w:hAnsi="Calibri"/>
                <w:color w:val="000000"/>
                <w:sz w:val="20"/>
              </w:rPr>
            </w:pPr>
            <w:r w:rsidRPr="00D41007">
              <w:rPr>
                <w:rFonts w:ascii="Calibri" w:eastAsia="Calibri" w:hAnsi="Calibri"/>
                <w:color w:val="000000"/>
                <w:sz w:val="20"/>
              </w:rPr>
              <w:t>Bloomberg Excel Formulas</w:t>
            </w:r>
            <w:r>
              <w:rPr>
                <w:rFonts w:ascii="Calibri" w:eastAsia="Calibri" w:hAnsi="Calibri"/>
                <w:color w:val="000000"/>
                <w:sz w:val="20"/>
              </w:rPr>
              <w:t xml:space="preserve"> &amp; Refinitiv Eikon </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6B586FAD" w14:textId="77777777" w:rsidR="00294C9A" w:rsidRDefault="00294C9A" w:rsidP="00551878">
            <w:pPr>
              <w:spacing w:line="276" w:lineRule="auto"/>
              <w:jc w:val="center"/>
              <w:rPr>
                <w:color w:val="000000"/>
                <w:sz w:val="20"/>
                <w:szCs w:val="20"/>
              </w:rPr>
            </w:pPr>
            <w:r w:rsidRPr="00D41007">
              <w:rPr>
                <w:rFonts w:ascii="Calibri" w:eastAsia="Calibri" w:hAnsi="Calibri"/>
                <w:color w:val="000000"/>
                <w:sz w:val="20"/>
              </w:rPr>
              <w:t>401K Project Due</w:t>
            </w:r>
          </w:p>
          <w:p w14:paraId="3AC12FA4" w14:textId="77777777" w:rsidR="00294C9A" w:rsidRPr="005757C9" w:rsidRDefault="00294C9A" w:rsidP="00551878">
            <w:pPr>
              <w:spacing w:line="276" w:lineRule="auto"/>
              <w:jc w:val="center"/>
              <w:rPr>
                <w:color w:val="000000"/>
                <w:sz w:val="20"/>
                <w:szCs w:val="20"/>
              </w:rPr>
            </w:pPr>
          </w:p>
        </w:tc>
      </w:tr>
      <w:tr w:rsidR="00294C9A" w:rsidRPr="005757C9" w14:paraId="13A89088" w14:textId="77777777" w:rsidTr="00551878">
        <w:trPr>
          <w:trHeight w:val="315"/>
        </w:trPr>
        <w:tc>
          <w:tcPr>
            <w:tcW w:w="73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584FDA06" w14:textId="77777777" w:rsidR="00294C9A" w:rsidRPr="005757C9" w:rsidRDefault="00294C9A" w:rsidP="00551878">
            <w:pPr>
              <w:spacing w:line="276" w:lineRule="auto"/>
              <w:jc w:val="center"/>
              <w:rPr>
                <w:color w:val="000000"/>
                <w:sz w:val="20"/>
                <w:szCs w:val="20"/>
              </w:rPr>
            </w:pPr>
            <w:r>
              <w:rPr>
                <w:color w:val="000000"/>
                <w:sz w:val="20"/>
                <w:szCs w:val="20"/>
              </w:rPr>
              <w:t>14</w:t>
            </w:r>
          </w:p>
        </w:tc>
        <w:tc>
          <w:tcPr>
            <w:tcW w:w="702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0A6C0774" w14:textId="77777777" w:rsidR="00294C9A" w:rsidRPr="005757C9" w:rsidRDefault="00294C9A" w:rsidP="00551878">
            <w:pPr>
              <w:spacing w:line="276" w:lineRule="auto"/>
              <w:rPr>
                <w:color w:val="000000"/>
                <w:sz w:val="20"/>
                <w:szCs w:val="20"/>
              </w:rPr>
            </w:pPr>
            <w:r>
              <w:rPr>
                <w:color w:val="000000"/>
                <w:sz w:val="20"/>
                <w:szCs w:val="20"/>
              </w:rPr>
              <w:t>4/16 &amp; 4/18 Final Project Presentations</w:t>
            </w:r>
          </w:p>
        </w:tc>
        <w:tc>
          <w:tcPr>
            <w:tcW w:w="20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6D669680" w14:textId="77777777" w:rsidR="00294C9A" w:rsidRPr="005757C9" w:rsidRDefault="00294C9A" w:rsidP="00551878">
            <w:pPr>
              <w:spacing w:line="276" w:lineRule="auto"/>
              <w:jc w:val="center"/>
              <w:rPr>
                <w:color w:val="000000"/>
                <w:sz w:val="20"/>
                <w:szCs w:val="20"/>
              </w:rPr>
            </w:pPr>
            <w:r>
              <w:rPr>
                <w:color w:val="000000"/>
                <w:sz w:val="20"/>
                <w:szCs w:val="20"/>
              </w:rPr>
              <w:t>Final Project Due</w:t>
            </w:r>
          </w:p>
        </w:tc>
      </w:tr>
    </w:tbl>
    <w:p w14:paraId="57564F37" w14:textId="77777777" w:rsidR="002C6E39" w:rsidRPr="005757C9" w:rsidRDefault="002C6E39" w:rsidP="002C6E39">
      <w:pPr>
        <w:tabs>
          <w:tab w:val="left" w:pos="3269"/>
        </w:tabs>
        <w:rPr>
          <w:sz w:val="16"/>
          <w:szCs w:val="16"/>
        </w:rPr>
      </w:pPr>
    </w:p>
    <w:p w14:paraId="538C9B76" w14:textId="77777777" w:rsidR="005757C9" w:rsidRPr="005757C9" w:rsidRDefault="005757C9" w:rsidP="005757C9">
      <w:pPr>
        <w:tabs>
          <w:tab w:val="left" w:pos="3269"/>
        </w:tabs>
        <w:rPr>
          <w:b/>
          <w:sz w:val="16"/>
          <w:szCs w:val="16"/>
        </w:rPr>
      </w:pPr>
    </w:p>
    <w:p w14:paraId="5434F2C1" w14:textId="77777777" w:rsidR="005757C9" w:rsidRPr="005757C9" w:rsidRDefault="005757C9" w:rsidP="005757C9">
      <w:pPr>
        <w:tabs>
          <w:tab w:val="left" w:pos="3269"/>
        </w:tabs>
        <w:rPr>
          <w:b/>
          <w:sz w:val="24"/>
          <w:szCs w:val="24"/>
        </w:rPr>
      </w:pPr>
      <w:r w:rsidRPr="005757C9">
        <w:rPr>
          <w:b/>
          <w:sz w:val="24"/>
          <w:szCs w:val="24"/>
        </w:rPr>
        <w:t xml:space="preserve">Grading: </w:t>
      </w:r>
    </w:p>
    <w:tbl>
      <w:tblPr>
        <w:tblW w:w="4605" w:type="dxa"/>
        <w:tblCellMar>
          <w:left w:w="0" w:type="dxa"/>
          <w:right w:w="0" w:type="dxa"/>
        </w:tblCellMar>
        <w:tblLook w:val="04A0" w:firstRow="1" w:lastRow="0" w:firstColumn="1" w:lastColumn="0" w:noHBand="0" w:noVBand="1"/>
      </w:tblPr>
      <w:tblGrid>
        <w:gridCol w:w="3717"/>
        <w:gridCol w:w="888"/>
      </w:tblGrid>
      <w:tr w:rsidR="002C6E39" w:rsidRPr="005757C9" w14:paraId="3086F356" w14:textId="77777777" w:rsidTr="00391045">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E51BDBE" w14:textId="0BCC4CC3" w:rsidR="002C6E39" w:rsidRDefault="002C6E39" w:rsidP="002C6E39">
            <w:pPr>
              <w:spacing w:after="200" w:line="276" w:lineRule="auto"/>
              <w:rPr>
                <w:rFonts w:ascii="Calibri" w:hAnsi="Calibri"/>
                <w:color w:val="000000"/>
              </w:rPr>
            </w:pPr>
            <w:r>
              <w:rPr>
                <w:rFonts w:ascii="Calibri" w:hAnsi="Calibri"/>
                <w:color w:val="000000"/>
              </w:rPr>
              <w:t>Bloomberg Market Concepts</w:t>
            </w:r>
            <w:r w:rsidR="00456069">
              <w:rPr>
                <w:rFonts w:ascii="Calibri" w:hAnsi="Calibri"/>
                <w:color w:val="000000"/>
              </w:rPr>
              <w:t xml:space="preserve"> &amp; Individual Market Data Assignments</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E8DD84" w14:textId="64840DC7" w:rsidR="002C6E39" w:rsidRDefault="002C6E39" w:rsidP="002C6E39">
            <w:pPr>
              <w:spacing w:after="200" w:line="276" w:lineRule="auto"/>
              <w:jc w:val="center"/>
              <w:rPr>
                <w:rFonts w:ascii="Calibri" w:hAnsi="Calibri"/>
                <w:color w:val="000000"/>
              </w:rPr>
            </w:pPr>
            <w:r>
              <w:rPr>
                <w:rFonts w:ascii="Calibri" w:hAnsi="Calibri"/>
                <w:color w:val="000000"/>
              </w:rPr>
              <w:t>1</w:t>
            </w:r>
            <w:r w:rsidR="001713F5">
              <w:rPr>
                <w:rFonts w:ascii="Calibri" w:hAnsi="Calibri"/>
                <w:color w:val="000000"/>
              </w:rPr>
              <w:t>0</w:t>
            </w:r>
            <w:r>
              <w:rPr>
                <w:rFonts w:ascii="Calibri" w:hAnsi="Calibri"/>
                <w:color w:val="000000"/>
              </w:rPr>
              <w:t>%</w:t>
            </w:r>
          </w:p>
        </w:tc>
      </w:tr>
      <w:tr w:rsidR="002C6E39" w:rsidRPr="005757C9" w14:paraId="1FD18A93" w14:textId="77777777" w:rsidTr="00391045">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31F0C0" w14:textId="77777777" w:rsidR="002C6E39" w:rsidRPr="005757C9" w:rsidRDefault="002C6E39" w:rsidP="002C6E39">
            <w:pPr>
              <w:spacing w:after="200" w:line="276" w:lineRule="auto"/>
              <w:rPr>
                <w:rFonts w:ascii="Calibri" w:hAnsi="Calibri"/>
                <w:color w:val="000000"/>
              </w:rPr>
            </w:pPr>
            <w:r>
              <w:rPr>
                <w:rFonts w:ascii="Calibri" w:hAnsi="Calibri"/>
                <w:color w:val="000000"/>
              </w:rPr>
              <w:t>Industry &amp; Company Analysis Project</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EDCCAB" w14:textId="70CB1CB0" w:rsidR="002C6E39" w:rsidRPr="005757C9" w:rsidRDefault="002C6E39" w:rsidP="002C6E39">
            <w:pPr>
              <w:spacing w:after="200" w:line="276" w:lineRule="auto"/>
              <w:jc w:val="center"/>
              <w:rPr>
                <w:rFonts w:ascii="Calibri" w:hAnsi="Calibri"/>
                <w:color w:val="000000"/>
              </w:rPr>
            </w:pPr>
            <w:r>
              <w:rPr>
                <w:rFonts w:ascii="Calibri" w:hAnsi="Calibri"/>
                <w:color w:val="000000"/>
              </w:rPr>
              <w:t>1</w:t>
            </w:r>
            <w:r w:rsidR="001713F5">
              <w:rPr>
                <w:rFonts w:ascii="Calibri" w:hAnsi="Calibri"/>
                <w:color w:val="000000"/>
              </w:rPr>
              <w:t>5</w:t>
            </w:r>
            <w:r w:rsidRPr="005757C9">
              <w:rPr>
                <w:rFonts w:ascii="Calibri" w:hAnsi="Calibri"/>
                <w:color w:val="000000"/>
              </w:rPr>
              <w:t>%</w:t>
            </w:r>
          </w:p>
        </w:tc>
      </w:tr>
      <w:tr w:rsidR="002C6E39" w:rsidRPr="005757C9" w14:paraId="5EDFBA95" w14:textId="77777777" w:rsidTr="00391045">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BDE3B2" w14:textId="77777777" w:rsidR="002C6E39" w:rsidRPr="005757C9" w:rsidRDefault="002C6E39" w:rsidP="002C6E39">
            <w:pPr>
              <w:spacing w:after="200" w:line="276" w:lineRule="auto"/>
              <w:rPr>
                <w:rFonts w:ascii="Calibri" w:hAnsi="Calibri"/>
                <w:color w:val="000000"/>
              </w:rPr>
            </w:pPr>
            <w:r>
              <w:rPr>
                <w:rFonts w:ascii="Calibri" w:hAnsi="Calibri"/>
                <w:color w:val="000000"/>
              </w:rPr>
              <w:t>401K Mutual Fund Evaluation Project</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D509A4" w14:textId="77777777" w:rsidR="002C6E39" w:rsidRPr="005757C9" w:rsidRDefault="002C6E39" w:rsidP="002C6E39">
            <w:pPr>
              <w:spacing w:after="200" w:line="276" w:lineRule="auto"/>
              <w:jc w:val="center"/>
              <w:rPr>
                <w:rFonts w:ascii="Calibri" w:hAnsi="Calibri"/>
                <w:color w:val="000000"/>
              </w:rPr>
            </w:pPr>
            <w:r>
              <w:rPr>
                <w:rFonts w:ascii="Calibri" w:hAnsi="Calibri"/>
                <w:color w:val="000000"/>
              </w:rPr>
              <w:t>15</w:t>
            </w:r>
            <w:r w:rsidRPr="005757C9">
              <w:rPr>
                <w:rFonts w:ascii="Calibri" w:hAnsi="Calibri"/>
                <w:color w:val="000000"/>
              </w:rPr>
              <w:t>%</w:t>
            </w:r>
          </w:p>
        </w:tc>
      </w:tr>
      <w:tr w:rsidR="002C6E39" w:rsidRPr="005757C9" w14:paraId="6D9E75CA" w14:textId="77777777" w:rsidTr="00391045">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05D672" w14:textId="77777777" w:rsidR="002C6E39" w:rsidRPr="005757C9" w:rsidRDefault="002C6E39" w:rsidP="002C6E39">
            <w:pPr>
              <w:spacing w:after="200" w:line="276" w:lineRule="auto"/>
              <w:rPr>
                <w:rFonts w:ascii="Calibri" w:hAnsi="Calibri"/>
                <w:color w:val="000000"/>
              </w:rPr>
            </w:pPr>
            <w:r>
              <w:rPr>
                <w:rFonts w:ascii="Calibri" w:hAnsi="Calibri"/>
                <w:color w:val="000000"/>
              </w:rPr>
              <w:t>Find Quiz – Carmen (take home)</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00B7F8" w14:textId="77777777" w:rsidR="002C6E39" w:rsidRPr="005757C9" w:rsidRDefault="002C6E39" w:rsidP="002C6E39">
            <w:pPr>
              <w:spacing w:after="200" w:line="276" w:lineRule="auto"/>
              <w:jc w:val="center"/>
              <w:rPr>
                <w:rFonts w:ascii="Calibri" w:hAnsi="Calibri"/>
                <w:color w:val="000000"/>
              </w:rPr>
            </w:pPr>
            <w:r>
              <w:rPr>
                <w:rFonts w:ascii="Calibri" w:hAnsi="Calibri"/>
                <w:color w:val="000000"/>
              </w:rPr>
              <w:t>10%</w:t>
            </w:r>
          </w:p>
        </w:tc>
      </w:tr>
      <w:tr w:rsidR="002C6E39" w:rsidRPr="005757C9" w14:paraId="0E0F359C" w14:textId="77777777" w:rsidTr="00391045">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19B845" w14:textId="77777777" w:rsidR="002C6E39" w:rsidRDefault="002C6E39" w:rsidP="002C6E39">
            <w:pPr>
              <w:spacing w:after="200" w:line="276" w:lineRule="auto"/>
              <w:rPr>
                <w:rFonts w:ascii="Calibri" w:hAnsi="Calibri"/>
                <w:color w:val="000000"/>
              </w:rPr>
            </w:pPr>
            <w:r>
              <w:rPr>
                <w:rFonts w:ascii="Calibri" w:hAnsi="Calibri"/>
                <w:color w:val="000000"/>
              </w:rPr>
              <w:t>Formula Quiz – Carmen (in-class)</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BF32DE" w14:textId="77777777" w:rsidR="002C6E39" w:rsidRPr="005757C9" w:rsidRDefault="002C6E39" w:rsidP="002C6E39">
            <w:pPr>
              <w:spacing w:after="200" w:line="276" w:lineRule="auto"/>
              <w:jc w:val="center"/>
              <w:rPr>
                <w:rFonts w:ascii="Calibri" w:hAnsi="Calibri"/>
                <w:color w:val="000000"/>
              </w:rPr>
            </w:pPr>
            <w:r>
              <w:rPr>
                <w:rFonts w:ascii="Calibri" w:hAnsi="Calibri"/>
                <w:color w:val="000000"/>
              </w:rPr>
              <w:t>10%</w:t>
            </w:r>
          </w:p>
        </w:tc>
      </w:tr>
      <w:tr w:rsidR="002C6E39" w:rsidRPr="005757C9" w14:paraId="69035B04" w14:textId="77777777" w:rsidTr="002C6E39">
        <w:trPr>
          <w:trHeight w:val="300"/>
        </w:trPr>
        <w:tc>
          <w:tcPr>
            <w:tcW w:w="37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8855AB" w14:textId="77777777" w:rsidR="002C6E39" w:rsidRDefault="002C6E39" w:rsidP="002C6E39">
            <w:pPr>
              <w:spacing w:after="200" w:line="276" w:lineRule="auto"/>
              <w:rPr>
                <w:rFonts w:ascii="Calibri" w:hAnsi="Calibri"/>
                <w:color w:val="000000"/>
              </w:rPr>
            </w:pPr>
            <w:r>
              <w:rPr>
                <w:rFonts w:ascii="Calibri" w:hAnsi="Calibri"/>
                <w:color w:val="000000"/>
              </w:rPr>
              <w:t>Saito Solar Discounted Cash Flow case</w:t>
            </w:r>
          </w:p>
        </w:tc>
        <w:tc>
          <w:tcPr>
            <w:tcW w:w="8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4B8393" w14:textId="77777777" w:rsidR="002C6E39" w:rsidRPr="005757C9" w:rsidRDefault="002C6E39" w:rsidP="002C6E39">
            <w:pPr>
              <w:spacing w:after="200" w:line="276" w:lineRule="auto"/>
              <w:jc w:val="center"/>
              <w:rPr>
                <w:rFonts w:ascii="Calibri" w:hAnsi="Calibri"/>
                <w:color w:val="000000"/>
              </w:rPr>
            </w:pPr>
            <w:r>
              <w:rPr>
                <w:rFonts w:ascii="Calibri" w:hAnsi="Calibri"/>
                <w:color w:val="000000"/>
              </w:rPr>
              <w:t>10%</w:t>
            </w:r>
          </w:p>
        </w:tc>
      </w:tr>
      <w:tr w:rsidR="00833992" w:rsidRPr="005757C9" w14:paraId="1606D5BC" w14:textId="77777777" w:rsidTr="002C6E39">
        <w:trPr>
          <w:trHeight w:val="300"/>
        </w:trPr>
        <w:tc>
          <w:tcPr>
            <w:tcW w:w="37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C7A6A2" w14:textId="6323A5BF" w:rsidR="00833992" w:rsidRDefault="00833992" w:rsidP="00833992">
            <w:pPr>
              <w:spacing w:after="200" w:line="276" w:lineRule="auto"/>
              <w:rPr>
                <w:rFonts w:ascii="Calibri" w:hAnsi="Calibri"/>
                <w:color w:val="000000"/>
              </w:rPr>
            </w:pPr>
            <w:r>
              <w:rPr>
                <w:rFonts w:ascii="Calibri" w:hAnsi="Calibri"/>
                <w:color w:val="000000"/>
              </w:rPr>
              <w:t xml:space="preserve">Python </w:t>
            </w:r>
            <w:r w:rsidR="00D85244">
              <w:rPr>
                <w:rFonts w:ascii="Calibri" w:hAnsi="Calibri"/>
                <w:color w:val="000000"/>
              </w:rPr>
              <w:t>Presentations</w:t>
            </w:r>
            <w:r>
              <w:rPr>
                <w:rFonts w:ascii="Calibri" w:hAnsi="Calibri"/>
                <w:color w:val="000000"/>
              </w:rPr>
              <w:t xml:space="preserve"> </w:t>
            </w:r>
          </w:p>
        </w:tc>
        <w:tc>
          <w:tcPr>
            <w:tcW w:w="8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506A32" w14:textId="77777777" w:rsidR="00833992" w:rsidRPr="005757C9" w:rsidRDefault="00833992" w:rsidP="00833992">
            <w:pPr>
              <w:spacing w:after="200" w:line="276" w:lineRule="auto"/>
              <w:jc w:val="center"/>
              <w:rPr>
                <w:rFonts w:ascii="Calibri" w:hAnsi="Calibri"/>
                <w:color w:val="000000"/>
              </w:rPr>
            </w:pPr>
            <w:r>
              <w:rPr>
                <w:rFonts w:ascii="Calibri" w:hAnsi="Calibri"/>
                <w:color w:val="000000"/>
              </w:rPr>
              <w:t>10%</w:t>
            </w:r>
          </w:p>
        </w:tc>
      </w:tr>
      <w:tr w:rsidR="00833992" w:rsidRPr="005757C9" w14:paraId="1D756A10" w14:textId="77777777" w:rsidTr="00391045">
        <w:trPr>
          <w:trHeight w:val="300"/>
        </w:trPr>
        <w:tc>
          <w:tcPr>
            <w:tcW w:w="37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25169" w14:textId="77777777" w:rsidR="00833992" w:rsidRPr="005757C9" w:rsidRDefault="00833992" w:rsidP="00833992">
            <w:pPr>
              <w:spacing w:after="200" w:line="276" w:lineRule="auto"/>
              <w:rPr>
                <w:rFonts w:ascii="Calibri" w:hAnsi="Calibri"/>
                <w:color w:val="000000"/>
              </w:rPr>
            </w:pPr>
            <w:r w:rsidRPr="005757C9">
              <w:rPr>
                <w:rFonts w:ascii="Calibri" w:hAnsi="Calibri"/>
                <w:color w:val="000000"/>
              </w:rPr>
              <w:t>Final</w:t>
            </w:r>
            <w:r>
              <w:rPr>
                <w:rFonts w:ascii="Calibri" w:hAnsi="Calibri"/>
                <w:color w:val="000000"/>
              </w:rPr>
              <w:t xml:space="preserve"> Project </w:t>
            </w:r>
          </w:p>
        </w:tc>
        <w:tc>
          <w:tcPr>
            <w:tcW w:w="8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9E0E4" w14:textId="77777777" w:rsidR="00833992" w:rsidRPr="005757C9" w:rsidRDefault="00833992" w:rsidP="00833992">
            <w:pPr>
              <w:spacing w:after="200" w:line="276" w:lineRule="auto"/>
              <w:jc w:val="center"/>
              <w:rPr>
                <w:rFonts w:ascii="Calibri" w:hAnsi="Calibri"/>
                <w:color w:val="000000"/>
              </w:rPr>
            </w:pPr>
            <w:r>
              <w:rPr>
                <w:rFonts w:ascii="Calibri" w:hAnsi="Calibri"/>
                <w:color w:val="000000"/>
              </w:rPr>
              <w:t>20</w:t>
            </w:r>
            <w:r w:rsidRPr="005757C9">
              <w:rPr>
                <w:rFonts w:ascii="Calibri" w:hAnsi="Calibri"/>
                <w:color w:val="000000"/>
              </w:rPr>
              <w:t>%</w:t>
            </w:r>
          </w:p>
        </w:tc>
      </w:tr>
    </w:tbl>
    <w:p w14:paraId="09AA7DC6" w14:textId="77777777" w:rsidR="00AB6ECC" w:rsidRPr="00AB6ECC" w:rsidRDefault="00AB6ECC" w:rsidP="00AB6ECC">
      <w:pPr>
        <w:spacing w:after="160" w:line="259" w:lineRule="auto"/>
        <w:rPr>
          <w:rFonts w:ascii="Calibri" w:eastAsia="Calibri" w:hAnsi="Calibri" w:cs="Times New Roman"/>
          <w:sz w:val="20"/>
          <w:szCs w:val="20"/>
        </w:rPr>
      </w:pPr>
      <w:r w:rsidRPr="00AB6ECC">
        <w:rPr>
          <w:rFonts w:ascii="Times New Roman" w:eastAsia="Times New Roman" w:hAnsi="Times New Roman" w:cstheme="minorHAnsi"/>
          <w:sz w:val="20"/>
          <w:szCs w:val="20"/>
        </w:rPr>
        <w:t>Please note:</w:t>
      </w:r>
    </w:p>
    <w:p w14:paraId="6CA7CEB2" w14:textId="77777777" w:rsidR="00AB6ECC" w:rsidRPr="00AB6ECC" w:rsidRDefault="00AB6ECC" w:rsidP="00AB6ECC">
      <w:pPr>
        <w:numPr>
          <w:ilvl w:val="0"/>
          <w:numId w:val="11"/>
        </w:numPr>
        <w:tabs>
          <w:tab w:val="left" w:pos="3269"/>
        </w:tabs>
        <w:contextualSpacing/>
        <w:rPr>
          <w:rFonts w:cstheme="minorHAnsi"/>
          <w:sz w:val="20"/>
          <w:szCs w:val="20"/>
        </w:rPr>
      </w:pPr>
      <w:r w:rsidRPr="00AB6ECC">
        <w:rPr>
          <w:rFonts w:cstheme="minorHAnsi"/>
          <w:sz w:val="20"/>
          <w:szCs w:val="20"/>
        </w:rPr>
        <w:t>No extra credit will be offered</w:t>
      </w:r>
    </w:p>
    <w:p w14:paraId="7CB18496" w14:textId="77777777" w:rsidR="00AB6ECC" w:rsidRPr="00AB6ECC" w:rsidRDefault="00AB6ECC" w:rsidP="00AB6ECC">
      <w:pPr>
        <w:numPr>
          <w:ilvl w:val="0"/>
          <w:numId w:val="11"/>
        </w:numPr>
        <w:tabs>
          <w:tab w:val="left" w:pos="3269"/>
        </w:tabs>
        <w:contextualSpacing/>
        <w:rPr>
          <w:rFonts w:cstheme="minorHAnsi"/>
          <w:sz w:val="20"/>
          <w:szCs w:val="20"/>
        </w:rPr>
      </w:pPr>
      <w:r w:rsidRPr="00AB6ECC">
        <w:rPr>
          <w:rFonts w:cstheme="minorHAnsi"/>
          <w:sz w:val="20"/>
          <w:szCs w:val="20"/>
        </w:rPr>
        <w:lastRenderedPageBreak/>
        <w:t>Grades will be determined at the end of the term. Any curve, if there is one, is set at that time</w:t>
      </w:r>
    </w:p>
    <w:p w14:paraId="41386D7F" w14:textId="77777777" w:rsidR="00AB6ECC" w:rsidRPr="00AB6ECC" w:rsidRDefault="00AB6ECC" w:rsidP="00AB6ECC">
      <w:pPr>
        <w:numPr>
          <w:ilvl w:val="0"/>
          <w:numId w:val="11"/>
        </w:numPr>
        <w:tabs>
          <w:tab w:val="left" w:pos="3269"/>
        </w:tabs>
        <w:contextualSpacing/>
        <w:rPr>
          <w:rFonts w:cstheme="minorHAnsi"/>
          <w:b/>
          <w:sz w:val="20"/>
          <w:szCs w:val="20"/>
        </w:rPr>
      </w:pPr>
      <w:r w:rsidRPr="00AB6ECC">
        <w:rPr>
          <w:rFonts w:cstheme="minorHAnsi"/>
          <w:sz w:val="20"/>
          <w:szCs w:val="20"/>
        </w:rPr>
        <w:t xml:space="preserve">Grades will not be changed except for a mathematical error  </w:t>
      </w:r>
    </w:p>
    <w:p w14:paraId="2FFAAB20" w14:textId="77777777" w:rsidR="0099162D" w:rsidRPr="00E2491E" w:rsidRDefault="0099162D" w:rsidP="0099162D">
      <w:pPr>
        <w:tabs>
          <w:tab w:val="left" w:pos="3269"/>
        </w:tabs>
      </w:pPr>
      <w:r w:rsidRPr="00E2491E">
        <w:rPr>
          <w:b/>
        </w:rPr>
        <w:t>Bloomberg Market Concepts (BMC)</w:t>
      </w:r>
      <w:r>
        <w:rPr>
          <w:b/>
        </w:rPr>
        <w:t xml:space="preserve">: </w:t>
      </w:r>
      <w:r w:rsidRPr="003F329E">
        <w:t>is a 10-hour, self-paced e-learning course that provides an interactive introduction to the financial markets. BMC consists of 5 modules—Economic Indicators, Currencies, Fixed Income, Equities, and Getting Started on the Terminal—woven together from Bloomberg data, news, analytics and television.</w:t>
      </w:r>
    </w:p>
    <w:p w14:paraId="3E83AFA2" w14:textId="77777777" w:rsidR="0099162D" w:rsidRDefault="0099162D" w:rsidP="0099162D">
      <w:pPr>
        <w:tabs>
          <w:tab w:val="left" w:pos="3269"/>
        </w:tabs>
        <w:rPr>
          <w:b/>
        </w:rPr>
      </w:pPr>
    </w:p>
    <w:p w14:paraId="5CF5BEDA" w14:textId="77777777" w:rsidR="0099162D" w:rsidRDefault="0099162D" w:rsidP="0099162D">
      <w:pPr>
        <w:tabs>
          <w:tab w:val="left" w:pos="3269"/>
        </w:tabs>
      </w:pPr>
      <w:r w:rsidRPr="008B300A">
        <w:rPr>
          <w:b/>
        </w:rPr>
        <w:t xml:space="preserve">Projects: </w:t>
      </w:r>
      <w:r>
        <w:t xml:space="preserve">In-depth group project instructions will be posted on Carmen. </w:t>
      </w:r>
    </w:p>
    <w:p w14:paraId="6C486294" w14:textId="77777777" w:rsidR="0099162D" w:rsidRDefault="0099162D" w:rsidP="005757C9">
      <w:pPr>
        <w:tabs>
          <w:tab w:val="left" w:pos="3269"/>
        </w:tabs>
        <w:rPr>
          <w:b/>
        </w:rPr>
      </w:pPr>
    </w:p>
    <w:p w14:paraId="0A85598B" w14:textId="77777777" w:rsidR="00E2491E" w:rsidRPr="000F57BB" w:rsidRDefault="00E2491E" w:rsidP="005757C9">
      <w:pPr>
        <w:tabs>
          <w:tab w:val="left" w:pos="3269"/>
        </w:tabs>
      </w:pPr>
      <w:r w:rsidRPr="00E2491E">
        <w:rPr>
          <w:b/>
        </w:rPr>
        <w:t>Quizzes:</w:t>
      </w:r>
      <w:r w:rsidR="000F57BB">
        <w:rPr>
          <w:b/>
        </w:rPr>
        <w:t xml:space="preserve"> </w:t>
      </w:r>
      <w:r w:rsidR="000F57BB" w:rsidRPr="000F57BB">
        <w:t>assess</w:t>
      </w:r>
      <w:r w:rsidR="000F57BB">
        <w:rPr>
          <w:b/>
        </w:rPr>
        <w:t xml:space="preserve"> </w:t>
      </w:r>
      <w:r w:rsidR="000F57BB">
        <w:t xml:space="preserve">understanding of concepts covered in class through application. Quizzes will be completed </w:t>
      </w:r>
      <w:r w:rsidR="000F57BB" w:rsidRPr="000F57BB">
        <w:rPr>
          <w:b/>
          <w:i/>
          <w:u w:val="single"/>
        </w:rPr>
        <w:t>individually</w:t>
      </w:r>
      <w:r w:rsidR="000F57BB">
        <w:t xml:space="preserve"> and consist of a combination of multiple choice, fill in the blank and file upload. </w:t>
      </w:r>
    </w:p>
    <w:p w14:paraId="5EDC2D82" w14:textId="47EAFA75" w:rsidR="005B2CD9" w:rsidRDefault="005B2CD9" w:rsidP="005757C9">
      <w:pPr>
        <w:tabs>
          <w:tab w:val="left" w:pos="3269"/>
        </w:tabs>
        <w:rPr>
          <w:b/>
          <w:sz w:val="16"/>
          <w:szCs w:val="16"/>
        </w:rPr>
      </w:pPr>
    </w:p>
    <w:p w14:paraId="364C7F6F" w14:textId="77777777" w:rsidR="005B2CD9" w:rsidRPr="005B2CD9" w:rsidRDefault="005B2CD9" w:rsidP="005B2CD9">
      <w:pPr>
        <w:spacing w:line="300" w:lineRule="auto"/>
        <w:rPr>
          <w:rFonts w:cstheme="minorHAnsi"/>
          <w:b/>
        </w:rPr>
      </w:pPr>
      <w:r w:rsidRPr="005B2CD9">
        <w:rPr>
          <w:rFonts w:cstheme="minorHAnsi"/>
          <w:b/>
        </w:rPr>
        <w:t>Academic Integrity Policy</w:t>
      </w:r>
    </w:p>
    <w:p w14:paraId="2FC1A755" w14:textId="77777777" w:rsidR="005B2CD9" w:rsidRPr="005B2CD9" w:rsidRDefault="005B2CD9" w:rsidP="005B2CD9">
      <w:pPr>
        <w:rPr>
          <w:rFonts w:cstheme="minorHAnsi"/>
        </w:rPr>
      </w:pPr>
      <w:r w:rsidRPr="005B2CD9">
        <w:rPr>
          <w:rFonts w:cstheme="minorHAnsi"/>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hyperlink r:id="rId9" w:history="1">
        <w:r w:rsidRPr="005B2CD9">
          <w:rPr>
            <w:rFonts w:cstheme="minorHAnsi"/>
            <w:color w:val="0000FF" w:themeColor="hyperlink"/>
            <w:u w:val="single"/>
          </w:rPr>
          <w:t>Code of Student Conduct</w:t>
        </w:r>
      </w:hyperlink>
      <w:r w:rsidRPr="005B2CD9">
        <w:rPr>
          <w:rFonts w:cstheme="minorHAnsi"/>
        </w:rPr>
        <w:t xml:space="preserve"> (studentconduct.osu.edu), and that all students will complete all academic and scholarly assignments with fairness and honesty. Students must recognize that failure to follow the rules and guidelines established in the university’s </w:t>
      </w:r>
      <w:r w:rsidRPr="005B2CD9">
        <w:rPr>
          <w:rFonts w:cstheme="minorHAnsi"/>
          <w:i/>
          <w:iCs/>
        </w:rPr>
        <w:t>Code of Student Conduct</w:t>
      </w:r>
      <w:r w:rsidRPr="005B2CD9">
        <w:rPr>
          <w:rFonts w:cstheme="minorHAnsi"/>
        </w:rPr>
        <w:t> and this syllabus may constitute “Academic Misconduct.”</w:t>
      </w:r>
    </w:p>
    <w:p w14:paraId="333D31D6" w14:textId="77777777" w:rsidR="005B2CD9" w:rsidRPr="005B2CD9" w:rsidRDefault="005B2CD9" w:rsidP="005B2CD9">
      <w:pPr>
        <w:rPr>
          <w:rFonts w:cstheme="minorHAnsi"/>
        </w:rPr>
      </w:pPr>
    </w:p>
    <w:p w14:paraId="4DAD9CEF" w14:textId="77777777" w:rsidR="005B2CD9" w:rsidRPr="005B2CD9" w:rsidRDefault="005B2CD9" w:rsidP="005B2CD9">
      <w:pPr>
        <w:rPr>
          <w:rFonts w:cstheme="minorHAnsi"/>
        </w:rPr>
      </w:pPr>
      <w:r w:rsidRPr="005B2CD9">
        <w:rPr>
          <w:rFonts w:cstheme="minorHAnsi"/>
        </w:rPr>
        <w:t>The Ohio State University’s </w:t>
      </w:r>
      <w:r w:rsidRPr="005B2CD9">
        <w:rPr>
          <w:rFonts w:cstheme="minorHAnsi"/>
          <w:i/>
          <w:iCs/>
          <w:color w:val="000000"/>
        </w:rPr>
        <w:t>Code of Student Conduct</w:t>
      </w:r>
      <w:r w:rsidRPr="005B2CD9">
        <w:rPr>
          <w:rFonts w:cstheme="minorHAnsi"/>
        </w:rPr>
        <w: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5B2CD9">
        <w:rPr>
          <w:rFonts w:cstheme="minorHAnsi"/>
          <w:i/>
          <w:iCs/>
          <w:color w:val="000000"/>
        </w:rPr>
        <w:t>Code of Student Conduct</w:t>
      </w:r>
      <w:r w:rsidRPr="005B2CD9">
        <w:rPr>
          <w:rFonts w:cstheme="minorHAnsi"/>
        </w:rPr>
        <w:t> is never considered an excuse for academic misconduct, so I recommend that you review the </w:t>
      </w:r>
      <w:r w:rsidRPr="005B2CD9">
        <w:rPr>
          <w:rFonts w:cstheme="minorHAnsi"/>
          <w:i/>
          <w:iCs/>
          <w:color w:val="000000"/>
        </w:rPr>
        <w:t>Code of Student Conduct</w:t>
      </w:r>
      <w:r w:rsidRPr="005B2CD9">
        <w:rPr>
          <w:rFonts w:cstheme="minorHAnsi"/>
        </w:rPr>
        <w:t> and, specifically, the sections dealing with academic misconduct.</w:t>
      </w:r>
    </w:p>
    <w:p w14:paraId="186A4D86" w14:textId="77777777" w:rsidR="005B2CD9" w:rsidRPr="005B2CD9" w:rsidRDefault="005B2CD9" w:rsidP="005B2CD9">
      <w:pPr>
        <w:rPr>
          <w:rFonts w:cstheme="minorHAnsi"/>
        </w:rPr>
      </w:pPr>
    </w:p>
    <w:p w14:paraId="4D8CD0F1" w14:textId="77777777" w:rsidR="005664F4" w:rsidRDefault="005B2CD9" w:rsidP="005B2CD9">
      <w:pPr>
        <w:rPr>
          <w:rFonts w:cstheme="minorHAnsi"/>
          <w:color w:val="000000"/>
        </w:rPr>
      </w:pPr>
      <w:r w:rsidRPr="005B2CD9">
        <w:rPr>
          <w:rFonts w:cstheme="minorHAnsi"/>
          <w:b/>
          <w:bCs/>
          <w:color w:val="000000"/>
        </w:rPr>
        <w:t>If I suspect that a student has committed academic misconduct in this course, I am obligated by university rules to report my suspicions to the Committee on Academic Misconduct.</w:t>
      </w:r>
      <w:r w:rsidRPr="005B2CD9">
        <w:rPr>
          <w:rFonts w:cstheme="minorHAnsi"/>
          <w:color w:val="000000"/>
        </w:rPr>
        <w:t> </w:t>
      </w:r>
    </w:p>
    <w:p w14:paraId="4827EA97" w14:textId="77777777" w:rsidR="005664F4" w:rsidRDefault="005664F4" w:rsidP="005B2CD9">
      <w:pPr>
        <w:rPr>
          <w:rFonts w:cstheme="minorHAnsi"/>
          <w:color w:val="000000"/>
        </w:rPr>
      </w:pPr>
    </w:p>
    <w:p w14:paraId="412CD935" w14:textId="2E387D33" w:rsidR="005B2CD9" w:rsidRPr="005B2CD9" w:rsidRDefault="005B2CD9" w:rsidP="005B2CD9">
      <w:pPr>
        <w:rPr>
          <w:rFonts w:cstheme="minorHAnsi"/>
        </w:rPr>
      </w:pPr>
      <w:r w:rsidRPr="005B2CD9">
        <w:rPr>
          <w:rFonts w:cstheme="minorHAnsi"/>
        </w:rPr>
        <w:t>If COAM determines that you have violated the university’s </w:t>
      </w:r>
      <w:r w:rsidRPr="005B2CD9">
        <w:rPr>
          <w:rFonts w:cstheme="minorHAnsi"/>
          <w:i/>
          <w:iCs/>
          <w:color w:val="000000"/>
        </w:rPr>
        <w:t>Code of Student Conduct</w:t>
      </w:r>
      <w:r w:rsidRPr="005B2CD9">
        <w:rPr>
          <w:rFonts w:cstheme="minorHAnsi"/>
        </w:rPr>
        <w:t> (i.e., committed academic misconduct), the sanctions for the misconduct could include a failing grade in this course and suspension or dismissal from the university.</w:t>
      </w:r>
    </w:p>
    <w:p w14:paraId="7095A3B0" w14:textId="77777777" w:rsidR="005B2CD9" w:rsidRPr="005B2CD9" w:rsidRDefault="005B2CD9" w:rsidP="005B2CD9">
      <w:pPr>
        <w:rPr>
          <w:rFonts w:cstheme="minorHAnsi"/>
        </w:rPr>
      </w:pPr>
    </w:p>
    <w:p w14:paraId="37B5842F" w14:textId="77777777" w:rsidR="005B2CD9" w:rsidRPr="005B2CD9" w:rsidRDefault="005B2CD9" w:rsidP="005B2CD9">
      <w:pPr>
        <w:spacing w:after="120"/>
        <w:rPr>
          <w:rFonts w:eastAsia="Times New Roman" w:cstheme="minorHAnsi"/>
        </w:rPr>
      </w:pPr>
      <w:r w:rsidRPr="005B2CD9">
        <w:rPr>
          <w:rFonts w:eastAsia="Times New Roman" w:cstheme="minorHAnsi"/>
        </w:rPr>
        <w:t>If you have any questions about the above policy or what constitutes academic misconduct in this course, please contact me.</w:t>
      </w:r>
    </w:p>
    <w:p w14:paraId="499CD29E" w14:textId="77777777" w:rsidR="005B2CD9" w:rsidRPr="005B2CD9" w:rsidRDefault="005B2CD9" w:rsidP="005B2CD9">
      <w:pPr>
        <w:rPr>
          <w:rFonts w:cstheme="minorHAnsi"/>
        </w:rPr>
      </w:pPr>
      <w:r w:rsidRPr="005B2CD9">
        <w:rPr>
          <w:rFonts w:cstheme="minorHAnsi"/>
        </w:rPr>
        <w:t>Other sources of information on academic misconduct (integrity) to which you can refer include:</w:t>
      </w:r>
    </w:p>
    <w:p w14:paraId="2048E58C" w14:textId="02C5E88F" w:rsidR="005B2CD9" w:rsidRDefault="005B2CD9" w:rsidP="0099162D">
      <w:pPr>
        <w:pStyle w:val="ListParagraph"/>
        <w:numPr>
          <w:ilvl w:val="0"/>
          <w:numId w:val="9"/>
        </w:numPr>
        <w:rPr>
          <w:rFonts w:eastAsia="Times New Roman" w:cstheme="minorHAnsi"/>
        </w:rPr>
      </w:pPr>
      <w:hyperlink r:id="rId10" w:history="1">
        <w:r w:rsidRPr="0099162D">
          <w:rPr>
            <w:rFonts w:eastAsia="Times New Roman" w:cstheme="minorHAnsi"/>
            <w:color w:val="0000FF" w:themeColor="hyperlink"/>
            <w:u w:val="single"/>
          </w:rPr>
          <w:t>Committee on Academic Misconduct</w:t>
        </w:r>
      </w:hyperlink>
      <w:r w:rsidRPr="0099162D">
        <w:rPr>
          <w:rFonts w:eastAsia="Times New Roman" w:cstheme="minorHAnsi"/>
        </w:rPr>
        <w:t xml:space="preserve"> (go.osu.edu/coam)</w:t>
      </w:r>
    </w:p>
    <w:p w14:paraId="278D9A95" w14:textId="77777777" w:rsidR="0099162D" w:rsidRPr="0099162D" w:rsidRDefault="0099162D" w:rsidP="0099162D">
      <w:pPr>
        <w:pStyle w:val="ListParagraph"/>
        <w:numPr>
          <w:ilvl w:val="0"/>
          <w:numId w:val="9"/>
        </w:numPr>
        <w:rPr>
          <w:u w:val="single"/>
        </w:rPr>
      </w:pPr>
      <w:hyperlink r:id="rId11" w:history="1">
        <w:r w:rsidRPr="0099162D">
          <w:rPr>
            <w:rStyle w:val="Hyperlink"/>
          </w:rPr>
          <w:t>Ten Suggestions for Preserving Academic Integrity</w:t>
        </w:r>
      </w:hyperlink>
      <w:r w:rsidRPr="0099162D">
        <w:rPr>
          <w:i/>
          <w:iCs/>
        </w:rPr>
        <w:t xml:space="preserve"> </w:t>
      </w:r>
      <w:r w:rsidRPr="0099162D">
        <w:t>(go.osu.edu/ten-suggestions)</w:t>
      </w:r>
    </w:p>
    <w:p w14:paraId="7D776620" w14:textId="2432AFBE" w:rsidR="0099162D" w:rsidRPr="0099162D" w:rsidRDefault="0099162D" w:rsidP="0099162D">
      <w:pPr>
        <w:pStyle w:val="ListParagraph"/>
        <w:numPr>
          <w:ilvl w:val="0"/>
          <w:numId w:val="9"/>
        </w:numPr>
        <w:rPr>
          <w:rFonts w:eastAsia="Times New Roman" w:cstheme="minorHAnsi"/>
          <w:u w:val="single"/>
        </w:rPr>
      </w:pPr>
      <w:hyperlink r:id="rId12" w:history="1">
        <w:r w:rsidRPr="0099162D">
          <w:rPr>
            <w:rStyle w:val="Hyperlink"/>
            <w:rFonts w:eastAsia="Times New Roman" w:cstheme="minorHAnsi"/>
          </w:rPr>
          <w:t>Eight Cardinal Rules of Academic Integrity</w:t>
        </w:r>
      </w:hyperlink>
      <w:r w:rsidRPr="0099162D">
        <w:rPr>
          <w:rFonts w:eastAsia="Times New Roman" w:cstheme="minorHAnsi"/>
        </w:rPr>
        <w:t xml:space="preserve"> (go.osu.edu/cardinal-rules)</w:t>
      </w:r>
    </w:p>
    <w:p w14:paraId="2A20E0BE" w14:textId="77777777" w:rsidR="005B2CD9" w:rsidRPr="005B2CD9" w:rsidRDefault="005B2CD9" w:rsidP="005B2CD9">
      <w:pPr>
        <w:ind w:left="720"/>
        <w:rPr>
          <w:rFonts w:eastAsia="Times New Roman" w:cstheme="minorHAnsi"/>
          <w:color w:val="0000FF" w:themeColor="hyperlink"/>
          <w:u w:val="single"/>
        </w:rPr>
      </w:pPr>
    </w:p>
    <w:p w14:paraId="4A5AA992" w14:textId="77777777" w:rsidR="005B2CD9" w:rsidRPr="005B2CD9" w:rsidRDefault="005B2CD9" w:rsidP="005B2CD9">
      <w:pPr>
        <w:spacing w:line="300" w:lineRule="auto"/>
        <w:rPr>
          <w:rFonts w:cstheme="minorHAnsi"/>
          <w:b/>
        </w:rPr>
      </w:pPr>
      <w:r w:rsidRPr="005B2CD9">
        <w:rPr>
          <w:rFonts w:cstheme="minorHAnsi"/>
          <w:b/>
        </w:rPr>
        <w:t>Copyright for Instructional Materials</w:t>
      </w:r>
    </w:p>
    <w:p w14:paraId="132829FF" w14:textId="77777777" w:rsidR="005B2CD9" w:rsidRPr="005B2CD9" w:rsidRDefault="005B2CD9" w:rsidP="005B2CD9">
      <w:pPr>
        <w:rPr>
          <w:rFonts w:cstheme="minorHAnsi"/>
        </w:rPr>
      </w:pPr>
      <w:r w:rsidRPr="005B2CD9">
        <w:rPr>
          <w:rFonts w:cstheme="minorHAnsi"/>
        </w:rPr>
        <w:t xml:space="preserve">The materials used in connection with this course may be subject to copyright protection and are only for the use of students officially enrolled in the course for the educational purposes associated with the </w:t>
      </w:r>
      <w:r w:rsidRPr="005B2CD9">
        <w:rPr>
          <w:rFonts w:cstheme="minorHAnsi"/>
        </w:rPr>
        <w:lastRenderedPageBreak/>
        <w:t>course. Copyright law must be considered before copying, retaining, or disseminating materials outside of the course.</w:t>
      </w:r>
    </w:p>
    <w:p w14:paraId="06DFDAF4" w14:textId="77777777" w:rsidR="005B2CD9" w:rsidRPr="005B2CD9" w:rsidRDefault="005B2CD9" w:rsidP="005B2CD9">
      <w:pPr>
        <w:rPr>
          <w:rFonts w:cstheme="minorHAnsi"/>
        </w:rPr>
      </w:pPr>
    </w:p>
    <w:p w14:paraId="7FE2E8EA" w14:textId="77777777" w:rsidR="0099162D" w:rsidRDefault="0099162D" w:rsidP="005B2CD9">
      <w:pPr>
        <w:spacing w:line="300" w:lineRule="auto"/>
        <w:rPr>
          <w:rFonts w:cstheme="minorHAnsi"/>
          <w:b/>
        </w:rPr>
      </w:pPr>
    </w:p>
    <w:p w14:paraId="54DF88C6" w14:textId="478CCEB6" w:rsidR="005B2CD9" w:rsidRPr="005B2CD9" w:rsidRDefault="005B2CD9" w:rsidP="005B2CD9">
      <w:pPr>
        <w:spacing w:line="300" w:lineRule="auto"/>
        <w:rPr>
          <w:rFonts w:cstheme="minorHAnsi"/>
          <w:b/>
        </w:rPr>
      </w:pPr>
      <w:r w:rsidRPr="005B2CD9">
        <w:rPr>
          <w:rFonts w:cstheme="minorHAnsi"/>
          <w:b/>
        </w:rPr>
        <w:t>Creating an Environment Free from Harassment, Discrimination, and Sexual Misconduct</w:t>
      </w:r>
    </w:p>
    <w:p w14:paraId="1E8EEE5F" w14:textId="77777777" w:rsidR="005B2CD9" w:rsidRPr="005B2CD9" w:rsidRDefault="005B2CD9" w:rsidP="005B2CD9">
      <w:pPr>
        <w:rPr>
          <w:rFonts w:cstheme="minorHAnsi"/>
        </w:rPr>
      </w:pPr>
      <w:r w:rsidRPr="005B2CD9">
        <w:rPr>
          <w:rFonts w:cstheme="minorHAnsi"/>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6C5B6F34" w14:textId="77777777" w:rsidR="005B2CD9" w:rsidRPr="005B2CD9" w:rsidRDefault="005B2CD9" w:rsidP="005B2CD9">
      <w:pPr>
        <w:rPr>
          <w:rFonts w:cstheme="minorHAnsi"/>
          <w:b/>
          <w:bCs/>
        </w:rPr>
      </w:pPr>
    </w:p>
    <w:p w14:paraId="0AC5FCAE" w14:textId="77777777" w:rsidR="005B2CD9" w:rsidRPr="005B2CD9" w:rsidRDefault="005B2CD9" w:rsidP="005B2CD9">
      <w:pPr>
        <w:rPr>
          <w:rFonts w:cstheme="minorHAnsi"/>
        </w:rPr>
      </w:pPr>
      <w:r w:rsidRPr="005B2CD9">
        <w:rPr>
          <w:rFonts w:cstheme="minorHAnsi"/>
        </w:rPr>
        <w:t>To report harassment, discrimination, sexual misconduct, or retaliation and/or seek confidential and non-confidential resources and supportive measures, contact the Office of Institutional Equity:</w:t>
      </w:r>
    </w:p>
    <w:p w14:paraId="687B4A25" w14:textId="77777777" w:rsidR="005B2CD9" w:rsidRPr="005B2CD9" w:rsidRDefault="005B2CD9" w:rsidP="005B2CD9">
      <w:pPr>
        <w:ind w:left="720" w:hanging="360"/>
        <w:rPr>
          <w:rFonts w:eastAsia="Times New Roman" w:cstheme="minorHAnsi"/>
        </w:rPr>
      </w:pPr>
      <w:r w:rsidRPr="005B2CD9">
        <w:rPr>
          <w:rFonts w:eastAsia="Times New Roman" w:cstheme="minorHAnsi"/>
        </w:rPr>
        <w:t>Online reporting form at </w:t>
      </w:r>
      <w:hyperlink r:id="rId13" w:history="1">
        <w:r w:rsidRPr="005B2CD9">
          <w:rPr>
            <w:rFonts w:eastAsia="Times New Roman" w:cstheme="minorHAnsi"/>
            <w:color w:val="0000FF" w:themeColor="hyperlink"/>
            <w:u w:val="single"/>
          </w:rPr>
          <w:t>equity.osu.edu</w:t>
        </w:r>
      </w:hyperlink>
      <w:r w:rsidRPr="005B2CD9">
        <w:rPr>
          <w:rFonts w:eastAsia="Times New Roman" w:cstheme="minorHAnsi"/>
        </w:rPr>
        <w:t>,</w:t>
      </w:r>
    </w:p>
    <w:p w14:paraId="5CD84A5A" w14:textId="77777777" w:rsidR="005B2CD9" w:rsidRPr="005B2CD9" w:rsidRDefault="005B2CD9" w:rsidP="005B2CD9">
      <w:pPr>
        <w:ind w:left="720" w:hanging="360"/>
        <w:rPr>
          <w:rFonts w:eastAsia="Times New Roman" w:cstheme="minorHAnsi"/>
        </w:rPr>
      </w:pPr>
      <w:r w:rsidRPr="005B2CD9">
        <w:rPr>
          <w:rFonts w:eastAsia="Times New Roman" w:cstheme="minorHAnsi"/>
        </w:rPr>
        <w:t>Call 614-247-5838 or TTY 614-688-8605,</w:t>
      </w:r>
    </w:p>
    <w:p w14:paraId="70A94186" w14:textId="77777777" w:rsidR="005B2CD9" w:rsidRPr="005B2CD9" w:rsidRDefault="005B2CD9" w:rsidP="005B2CD9">
      <w:pPr>
        <w:ind w:left="720" w:hanging="360"/>
        <w:rPr>
          <w:rFonts w:eastAsia="Times New Roman" w:cstheme="minorHAnsi"/>
          <w:color w:val="0000FF" w:themeColor="hyperlink"/>
          <w:u w:val="single"/>
        </w:rPr>
      </w:pPr>
      <w:r w:rsidRPr="005B2CD9">
        <w:rPr>
          <w:rFonts w:eastAsia="Times New Roman" w:cstheme="minorHAnsi"/>
        </w:rPr>
        <w:t>Or email </w:t>
      </w:r>
      <w:hyperlink r:id="rId14" w:history="1">
        <w:r w:rsidRPr="005B2CD9">
          <w:rPr>
            <w:rFonts w:eastAsia="Times New Roman" w:cstheme="minorHAnsi"/>
            <w:color w:val="0000FF" w:themeColor="hyperlink"/>
            <w:u w:val="single"/>
          </w:rPr>
          <w:t>equity@osu.edu</w:t>
        </w:r>
      </w:hyperlink>
    </w:p>
    <w:p w14:paraId="2843A1ED" w14:textId="77777777" w:rsidR="005B2CD9" w:rsidRPr="005B2CD9" w:rsidRDefault="005B2CD9" w:rsidP="005B2CD9">
      <w:pPr>
        <w:ind w:left="720" w:hanging="360"/>
        <w:rPr>
          <w:rFonts w:eastAsia="Times New Roman" w:cstheme="minorHAnsi"/>
        </w:rPr>
      </w:pPr>
    </w:p>
    <w:p w14:paraId="45A7B878" w14:textId="77777777" w:rsidR="005B2CD9" w:rsidRPr="005B2CD9" w:rsidRDefault="005B2CD9" w:rsidP="005B2CD9">
      <w:pPr>
        <w:rPr>
          <w:rFonts w:cstheme="minorHAnsi"/>
        </w:rPr>
      </w:pPr>
      <w:r w:rsidRPr="005B2CD9">
        <w:rPr>
          <w:rFonts w:cstheme="minorHAnsi"/>
        </w:rPr>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4E5CB659" w14:textId="77777777" w:rsidR="005B2CD9" w:rsidRPr="0099162D" w:rsidRDefault="005B2CD9" w:rsidP="0099162D">
      <w:pPr>
        <w:pStyle w:val="ListParagraph"/>
        <w:numPr>
          <w:ilvl w:val="0"/>
          <w:numId w:val="8"/>
        </w:numPr>
        <w:spacing w:after="120"/>
        <w:rPr>
          <w:rFonts w:eastAsia="Times New Roman" w:cstheme="minorHAnsi"/>
        </w:rPr>
      </w:pPr>
      <w:r w:rsidRPr="0099162D">
        <w:rPr>
          <w:rFonts w:eastAsia="Times New Roman" w:cstheme="minorHAnsi"/>
        </w:rPr>
        <w:t>All university employees, except those exempted by legal privilege of confidentiality or expressly identified as a confidential reporter, have an obligation to report incidents of sexual assault immediately.</w:t>
      </w:r>
    </w:p>
    <w:p w14:paraId="55CC5D9B" w14:textId="77777777" w:rsidR="005B2CD9" w:rsidRPr="0099162D" w:rsidRDefault="005B2CD9" w:rsidP="0099162D">
      <w:pPr>
        <w:pStyle w:val="ListParagraph"/>
        <w:numPr>
          <w:ilvl w:val="0"/>
          <w:numId w:val="8"/>
        </w:numPr>
        <w:spacing w:after="120"/>
        <w:rPr>
          <w:rFonts w:eastAsia="Times New Roman" w:cstheme="minorHAnsi"/>
        </w:rPr>
      </w:pPr>
      <w:r w:rsidRPr="0099162D">
        <w:rPr>
          <w:rFonts w:eastAsia="Times New Roman" w:cstheme="minorHAnsi"/>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1C2FE505" w14:textId="77777777" w:rsidR="005B2CD9" w:rsidRPr="005B2CD9" w:rsidRDefault="005B2CD9" w:rsidP="005B2CD9">
      <w:pPr>
        <w:rPr>
          <w:rFonts w:eastAsia="Times New Roman" w:cstheme="minorHAnsi"/>
          <w:b/>
        </w:rPr>
      </w:pPr>
      <w:r w:rsidRPr="005B2CD9">
        <w:rPr>
          <w:rFonts w:eastAsia="Times New Roman" w:cstheme="minorHAnsi"/>
          <w:b/>
        </w:rPr>
        <w:t>Your Mental Health</w:t>
      </w:r>
    </w:p>
    <w:p w14:paraId="74719EE5" w14:textId="77777777" w:rsidR="005B2CD9" w:rsidRPr="005B2CD9" w:rsidRDefault="005B2CD9" w:rsidP="005B2CD9">
      <w:pPr>
        <w:rPr>
          <w:rFonts w:cstheme="minorHAnsi"/>
        </w:rPr>
      </w:pPr>
      <w:r w:rsidRPr="005B2CD9">
        <w:rPr>
          <w:rFonts w:cstheme="minorHAnsi"/>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5B2CD9">
        <w:rPr>
          <w:rFonts w:cstheme="minorHAnsi"/>
          <w:color w:val="000000"/>
        </w:rPr>
        <w:t>No matter where you are engaged in distance learning, The Ohio State University’s Student Life Counseling and Consultation Service (CCS) is here to support you. </w:t>
      </w:r>
      <w:r w:rsidRPr="005B2CD9">
        <w:rPr>
          <w:rFonts w:cstheme="minorHAnsi"/>
        </w:rPr>
        <w:t>If you find yourself feeling isolated, anxious or overwhelmed</w:t>
      </w:r>
      <w:r w:rsidRPr="005B2CD9">
        <w:rPr>
          <w:rFonts w:cstheme="minorHAnsi"/>
          <w:color w:val="201F1E"/>
          <w:shd w:val="clear" w:color="auto" w:fill="FFFFFF"/>
        </w:rPr>
        <w:t xml:space="preserve">, </w:t>
      </w:r>
      <w:hyperlink r:id="rId15" w:history="1">
        <w:r w:rsidRPr="005B2CD9">
          <w:rPr>
            <w:rFonts w:cstheme="minorHAnsi"/>
            <w:color w:val="0000FF" w:themeColor="hyperlink"/>
            <w:u w:val="single"/>
          </w:rPr>
          <w:t>on-demand mental health resources</w:t>
        </w:r>
      </w:hyperlink>
      <w:r w:rsidRPr="005B2CD9">
        <w:rPr>
          <w:rFonts w:cstheme="minorHAnsi"/>
          <w:color w:val="000000"/>
        </w:rPr>
        <w:t xml:space="preserve"> (</w:t>
      </w:r>
      <w:r w:rsidRPr="005B2CD9">
        <w:rPr>
          <w:rFonts w:cstheme="minorHAnsi"/>
        </w:rPr>
        <w:t>go.osu.edu/ccsondemand</w:t>
      </w:r>
      <w:r w:rsidRPr="005B2CD9">
        <w:rPr>
          <w:rFonts w:cstheme="minorHAnsi"/>
          <w:color w:val="000000"/>
        </w:rPr>
        <w:t>) are available</w:t>
      </w:r>
      <w:r w:rsidRPr="005B2CD9">
        <w:rPr>
          <w:rFonts w:cstheme="minorHAnsi"/>
        </w:rPr>
        <w:t>. You can reach an on-call counselor when CCS is closed at </w:t>
      </w:r>
      <w:hyperlink r:id="rId16" w:history="1">
        <w:r w:rsidRPr="005B2CD9">
          <w:rPr>
            <w:rFonts w:cstheme="minorHAnsi"/>
            <w:color w:val="0000FF" w:themeColor="hyperlink"/>
            <w:u w:val="single"/>
          </w:rPr>
          <w:t>614- 292-5766</w:t>
        </w:r>
      </w:hyperlink>
      <w:r w:rsidRPr="005B2CD9">
        <w:rPr>
          <w:rFonts w:cstheme="minorHAnsi"/>
          <w:b/>
          <w:bCs/>
        </w:rPr>
        <w:t>. 24-hour emergency help</w:t>
      </w:r>
      <w:r w:rsidRPr="005B2CD9">
        <w:rPr>
          <w:rFonts w:cstheme="minorHAnsi"/>
        </w:rPr>
        <w:t xml:space="preserve"> is available through the </w:t>
      </w:r>
      <w:hyperlink r:id="rId17" w:history="1">
        <w:r w:rsidRPr="005B2CD9">
          <w:rPr>
            <w:rFonts w:cstheme="minorHAnsi"/>
            <w:color w:val="0000FF" w:themeColor="hyperlink"/>
            <w:u w:val="single"/>
          </w:rPr>
          <w:t>National Suicide Prevention Lifeline website</w:t>
        </w:r>
      </w:hyperlink>
      <w:r w:rsidRPr="005B2CD9">
        <w:rPr>
          <w:rFonts w:cstheme="minorHAnsi"/>
        </w:rPr>
        <w:t xml:space="preserve"> (suicidepreventionlifeline.org) or by calling </w:t>
      </w:r>
      <w:hyperlink r:id="rId18" w:history="1">
        <w:r w:rsidRPr="005B2CD9">
          <w:rPr>
            <w:rFonts w:cstheme="minorHAnsi"/>
            <w:color w:val="0000FF" w:themeColor="hyperlink"/>
            <w:u w:val="single"/>
          </w:rPr>
          <w:t>1-800-273-8255(TALK)</w:t>
        </w:r>
      </w:hyperlink>
      <w:r w:rsidRPr="005B2CD9">
        <w:rPr>
          <w:rFonts w:cstheme="minorHAnsi"/>
        </w:rPr>
        <w:t xml:space="preserve">. </w:t>
      </w:r>
      <w:hyperlink r:id="rId19" w:history="1">
        <w:r w:rsidRPr="005B2CD9">
          <w:rPr>
            <w:rFonts w:cstheme="minorHAnsi"/>
            <w:color w:val="0000FF" w:themeColor="hyperlink"/>
            <w:u w:val="single"/>
          </w:rPr>
          <w:t>The Ohio State Wellness app</w:t>
        </w:r>
      </w:hyperlink>
    </w:p>
    <w:p w14:paraId="45E9AC3B" w14:textId="77777777" w:rsidR="005B2CD9" w:rsidRPr="005B2CD9" w:rsidRDefault="005B2CD9" w:rsidP="005B2CD9">
      <w:pPr>
        <w:rPr>
          <w:rFonts w:cstheme="minorHAnsi"/>
        </w:rPr>
      </w:pPr>
    </w:p>
    <w:p w14:paraId="308122C9" w14:textId="77777777" w:rsidR="005B2CD9" w:rsidRPr="005B2CD9" w:rsidRDefault="005B2CD9" w:rsidP="005B2CD9">
      <w:pPr>
        <w:spacing w:line="300" w:lineRule="auto"/>
        <w:rPr>
          <w:rFonts w:cstheme="minorHAnsi"/>
          <w:b/>
        </w:rPr>
      </w:pPr>
      <w:r w:rsidRPr="005B2CD9">
        <w:rPr>
          <w:rFonts w:cstheme="minorHAnsi"/>
          <w:b/>
        </w:rPr>
        <w:t>Accessibility Accommodations for Students with Disabilities</w:t>
      </w:r>
    </w:p>
    <w:p w14:paraId="2065DE25" w14:textId="77777777" w:rsidR="005B2CD9" w:rsidRDefault="005B2CD9" w:rsidP="005B2CD9">
      <w:pPr>
        <w:rPr>
          <w:rFonts w:cstheme="minorHAnsi"/>
        </w:rPr>
      </w:pPr>
      <w:r w:rsidRPr="005B2CD9">
        <w:rPr>
          <w:rFonts w:cstheme="minorHAnsi"/>
        </w:rPr>
        <w:t xml:space="preserve">The university strives to make all learning experiences as accessible as possible. If you anticipate or experience academic barriers based on your disability including mental health, chronic or temporary </w:t>
      </w:r>
      <w:r w:rsidRPr="005B2CD9">
        <w:rPr>
          <w:rFonts w:cstheme="minorHAnsi"/>
        </w:rPr>
        <w:lastRenderedPageBreak/>
        <w:t xml:space="preserve">medical conditions, please let me know immediately so that we can privately discuss options. To establish reasonable accommodations, I may request that you register with </w:t>
      </w:r>
      <w:hyperlink r:id="rId20" w:history="1">
        <w:r w:rsidRPr="005B2CD9">
          <w:rPr>
            <w:rFonts w:cstheme="minorHAnsi"/>
            <w:color w:val="0000FF" w:themeColor="hyperlink"/>
            <w:u w:val="single"/>
          </w:rPr>
          <w:t>Student Life Disability Services (SLDS)</w:t>
        </w:r>
      </w:hyperlink>
      <w:r w:rsidRPr="005B2CD9">
        <w:rPr>
          <w:rFonts w:cstheme="minorHAnsi"/>
        </w:rPr>
        <w:t>. After registration, make arrangements with me as soon as possible to discuss your accommodations so that they may be implemented in a timely fashion. </w:t>
      </w:r>
    </w:p>
    <w:p w14:paraId="68F5718B" w14:textId="77777777" w:rsidR="00C03F61" w:rsidRDefault="00C03F61" w:rsidP="005B2CD9">
      <w:pPr>
        <w:rPr>
          <w:rFonts w:cstheme="minorHAnsi"/>
        </w:rPr>
      </w:pPr>
    </w:p>
    <w:p w14:paraId="07B3F1AC" w14:textId="77777777" w:rsidR="00C03F61" w:rsidRPr="008C70BC" w:rsidRDefault="00C03F61" w:rsidP="00C03F61">
      <w:pPr>
        <w:rPr>
          <w:rFonts w:cstheme="minorHAnsi"/>
          <w:b/>
        </w:rPr>
      </w:pPr>
      <w:r w:rsidRPr="008C70BC">
        <w:rPr>
          <w:rFonts w:cstheme="minorHAnsi"/>
          <w:b/>
        </w:rPr>
        <w:t>Disability Services Contact Information</w:t>
      </w:r>
    </w:p>
    <w:p w14:paraId="1D4AF654" w14:textId="77777777" w:rsidR="00C03F61" w:rsidRPr="008C70BC" w:rsidRDefault="00C03F61" w:rsidP="00C03F61">
      <w:pPr>
        <w:pStyle w:val="ListParagraph"/>
        <w:numPr>
          <w:ilvl w:val="0"/>
          <w:numId w:val="10"/>
        </w:numPr>
        <w:rPr>
          <w:rFonts w:cstheme="minorHAnsi"/>
          <w:sz w:val="24"/>
          <w:szCs w:val="24"/>
        </w:rPr>
      </w:pPr>
      <w:r w:rsidRPr="008C70BC">
        <w:rPr>
          <w:rFonts w:cstheme="minorHAnsi"/>
          <w:sz w:val="24"/>
          <w:szCs w:val="24"/>
        </w:rPr>
        <w:t xml:space="preserve">Phone: </w:t>
      </w:r>
      <w:hyperlink r:id="rId21" w:history="1">
        <w:r w:rsidRPr="008C70BC">
          <w:rPr>
            <w:rStyle w:val="Hyperlink"/>
            <w:rFonts w:cstheme="minorHAnsi"/>
            <w:sz w:val="24"/>
            <w:szCs w:val="24"/>
          </w:rPr>
          <w:t>614-292-3307</w:t>
        </w:r>
      </w:hyperlink>
    </w:p>
    <w:p w14:paraId="5FD8B9BF" w14:textId="77777777" w:rsidR="00C03F61" w:rsidRPr="008C70BC" w:rsidRDefault="00C03F61" w:rsidP="00C03F61">
      <w:pPr>
        <w:pStyle w:val="ListParagraph"/>
        <w:numPr>
          <w:ilvl w:val="0"/>
          <w:numId w:val="10"/>
        </w:numPr>
        <w:rPr>
          <w:rFonts w:cstheme="minorHAnsi"/>
          <w:sz w:val="24"/>
          <w:szCs w:val="24"/>
        </w:rPr>
      </w:pPr>
      <w:r w:rsidRPr="008C70BC">
        <w:rPr>
          <w:rFonts w:cstheme="minorHAnsi"/>
          <w:sz w:val="24"/>
          <w:szCs w:val="24"/>
        </w:rPr>
        <w:t xml:space="preserve">Website: </w:t>
      </w:r>
      <w:hyperlink r:id="rId22" w:history="1">
        <w:r w:rsidRPr="008C70BC">
          <w:rPr>
            <w:rStyle w:val="Hyperlink"/>
            <w:rFonts w:cstheme="minorHAnsi"/>
            <w:sz w:val="24"/>
            <w:szCs w:val="24"/>
          </w:rPr>
          <w:t>slds.osu.edu</w:t>
        </w:r>
      </w:hyperlink>
    </w:p>
    <w:p w14:paraId="185ACE4C" w14:textId="77777777" w:rsidR="00C03F61" w:rsidRPr="008C70BC" w:rsidRDefault="00C03F61" w:rsidP="00C03F61">
      <w:pPr>
        <w:pStyle w:val="ListParagraph"/>
        <w:numPr>
          <w:ilvl w:val="0"/>
          <w:numId w:val="10"/>
        </w:numPr>
        <w:rPr>
          <w:rFonts w:cstheme="minorHAnsi"/>
          <w:sz w:val="24"/>
          <w:szCs w:val="24"/>
        </w:rPr>
      </w:pPr>
      <w:r w:rsidRPr="008C70BC">
        <w:rPr>
          <w:rFonts w:cstheme="minorHAnsi"/>
          <w:sz w:val="24"/>
          <w:szCs w:val="24"/>
        </w:rPr>
        <w:t xml:space="preserve">Email: </w:t>
      </w:r>
      <w:hyperlink r:id="rId23" w:history="1">
        <w:r w:rsidRPr="008C70BC">
          <w:rPr>
            <w:rStyle w:val="Hyperlink"/>
            <w:rFonts w:cstheme="minorHAnsi"/>
            <w:sz w:val="24"/>
            <w:szCs w:val="24"/>
          </w:rPr>
          <w:t>slds@osu.edu</w:t>
        </w:r>
      </w:hyperlink>
    </w:p>
    <w:p w14:paraId="6EA90163" w14:textId="77777777" w:rsidR="00C03F61" w:rsidRPr="0076580D" w:rsidRDefault="00C03F61" w:rsidP="00C03F61">
      <w:pPr>
        <w:pStyle w:val="ListParagraph"/>
        <w:numPr>
          <w:ilvl w:val="0"/>
          <w:numId w:val="10"/>
        </w:numPr>
        <w:rPr>
          <w:rStyle w:val="Hyperlink"/>
          <w:rFonts w:cstheme="minorHAnsi"/>
          <w:color w:val="auto"/>
          <w:sz w:val="24"/>
          <w:szCs w:val="24"/>
          <w:u w:val="none"/>
        </w:rPr>
      </w:pPr>
      <w:r w:rsidRPr="008C70BC">
        <w:rPr>
          <w:rFonts w:cstheme="minorHAnsi"/>
          <w:sz w:val="24"/>
          <w:szCs w:val="24"/>
        </w:rPr>
        <w:t xml:space="preserve">In person: </w:t>
      </w:r>
      <w:hyperlink r:id="rId24" w:history="1">
        <w:r w:rsidRPr="008C70BC">
          <w:rPr>
            <w:rStyle w:val="Hyperlink"/>
            <w:rFonts w:cstheme="minorHAnsi"/>
            <w:sz w:val="24"/>
            <w:szCs w:val="24"/>
          </w:rPr>
          <w:t>Baker Hall 098, 113 W. 12th Avenue</w:t>
        </w:r>
      </w:hyperlink>
    </w:p>
    <w:p w14:paraId="7F07F194" w14:textId="77777777" w:rsidR="005B2CD9" w:rsidRPr="005B2CD9" w:rsidRDefault="005B2CD9" w:rsidP="005B2CD9">
      <w:pPr>
        <w:rPr>
          <w:rFonts w:cstheme="minorHAnsi"/>
        </w:rPr>
      </w:pPr>
    </w:p>
    <w:p w14:paraId="6ECBA72F" w14:textId="77777777" w:rsidR="005B2CD9" w:rsidRDefault="005B2CD9" w:rsidP="005B2CD9">
      <w:pPr>
        <w:rPr>
          <w:rFonts w:cstheme="minorHAnsi"/>
          <w:b/>
        </w:rPr>
      </w:pPr>
      <w:r w:rsidRPr="005B2CD9">
        <w:rPr>
          <w:rFonts w:cstheme="minorHAnsi"/>
          <w:b/>
        </w:rPr>
        <w:t>Student COVID-related Accommodation Process:</w:t>
      </w:r>
    </w:p>
    <w:p w14:paraId="6D0B3E50" w14:textId="77777777" w:rsidR="00923C1B" w:rsidRPr="0076580D" w:rsidRDefault="00923C1B" w:rsidP="00923C1B">
      <w:pPr>
        <w:rPr>
          <w:rFonts w:cstheme="minorHAnsi"/>
          <w:b/>
        </w:rPr>
      </w:pPr>
      <w:r w:rsidRPr="0076580D">
        <w:rPr>
          <w:rFonts w:cstheme="minorHAnsi"/>
        </w:rPr>
        <w:t>The university strives to maintain a healthy and accessible environment to support student learning in and out of the classroom.  If you anticipate or experience academic barriers based on your disability (including mental health, chronic,</w:t>
      </w:r>
      <w:r w:rsidRPr="0076580D">
        <w:rPr>
          <w:rFonts w:cstheme="minorHAnsi"/>
          <w:strike/>
        </w:rPr>
        <w:t> </w:t>
      </w:r>
      <w:r w:rsidRPr="0076580D">
        <w:rPr>
          <w:rFonts w:cstheme="minorHAnsi"/>
        </w:rPr>
        <w:t>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p>
    <w:p w14:paraId="5750D30C" w14:textId="26CDB25F" w:rsidR="00AF7D5B" w:rsidRPr="00C03F61" w:rsidRDefault="00923C1B" w:rsidP="00C03F61">
      <w:pPr>
        <w:shd w:val="clear" w:color="auto" w:fill="FFFFFF"/>
        <w:spacing w:beforeAutospacing="1" w:afterAutospacing="1"/>
        <w:rPr>
          <w:rFonts w:cstheme="minorHAnsi"/>
          <w:color w:val="242424"/>
        </w:rPr>
      </w:pPr>
      <w:r w:rsidRPr="0076580D">
        <w:rPr>
          <w:rFonts w:cstheme="minorHAnsi"/>
        </w:rPr>
        <w:t>If you are isolating while waiting for a COVID-19 test result, please let me know immediately. Those testing positive for COVID-19 should refer to the </w:t>
      </w:r>
      <w:hyperlink r:id="rId25" w:tgtFrame="_blank" w:history="1">
        <w:r w:rsidRPr="0076580D">
          <w:rPr>
            <w:rFonts w:cstheme="minorHAnsi"/>
            <w:color w:val="0563C1"/>
            <w:u w:val="single"/>
            <w:bdr w:val="none" w:sz="0" w:space="0" w:color="auto" w:frame="1"/>
          </w:rPr>
          <w:t>Safe and Healthy Buckeyes site</w:t>
        </w:r>
      </w:hyperlink>
      <w:r w:rsidRPr="0076580D">
        <w:rPr>
          <w:rFonts w:cstheme="minorHAnsi"/>
          <w:color w:val="242424"/>
        </w:rPr>
        <w:t> </w:t>
      </w:r>
      <w:r w:rsidRPr="0076580D">
        <w:rPr>
          <w:rFonts w:cstheme="minorHAnsi"/>
        </w:rPr>
        <w:t>for resources.  Beyond five days of the required COVID-19 isolation period, I may rely on Student Life Disability Services to establish further reasonable accommodations. You can connect with them at </w:t>
      </w:r>
      <w:hyperlink r:id="rId26" w:history="1">
        <w:r w:rsidRPr="0076580D">
          <w:rPr>
            <w:rFonts w:cstheme="minorHAnsi"/>
            <w:color w:val="0563C1"/>
            <w:u w:val="single"/>
            <w:bdr w:val="none" w:sz="0" w:space="0" w:color="auto" w:frame="1"/>
          </w:rPr>
          <w:t>slds@osu.edu</w:t>
        </w:r>
      </w:hyperlink>
      <w:r w:rsidRPr="0076580D">
        <w:rPr>
          <w:rFonts w:cstheme="minorHAnsi"/>
          <w:color w:val="242424"/>
        </w:rPr>
        <w:t xml:space="preserve">; </w:t>
      </w:r>
      <w:r w:rsidRPr="0076580D">
        <w:rPr>
          <w:rFonts w:cstheme="minorHAnsi"/>
        </w:rPr>
        <w:t>614-292-3307; or </w:t>
      </w:r>
      <w:hyperlink r:id="rId27" w:tgtFrame="_blank" w:history="1">
        <w:r w:rsidRPr="0076580D">
          <w:rPr>
            <w:rFonts w:cstheme="minorHAnsi"/>
            <w:color w:val="0563C1"/>
            <w:u w:val="single"/>
            <w:bdr w:val="none" w:sz="0" w:space="0" w:color="auto" w:frame="1"/>
          </w:rPr>
          <w:t>slds.osu.edu</w:t>
        </w:r>
      </w:hyperlink>
      <w:r w:rsidRPr="0076580D">
        <w:rPr>
          <w:rFonts w:cstheme="minorHAnsi"/>
          <w:color w:val="242424"/>
        </w:rPr>
        <w:t>.</w:t>
      </w:r>
    </w:p>
    <w:p w14:paraId="52BD5AAF" w14:textId="77777777" w:rsidR="00AF7D5B" w:rsidRPr="004E1D55" w:rsidRDefault="00AF7D5B" w:rsidP="00AF7D5B">
      <w:pPr>
        <w:autoSpaceDE w:val="0"/>
        <w:autoSpaceDN w:val="0"/>
        <w:adjustRightInd w:val="0"/>
        <w:rPr>
          <w:rFonts w:cstheme="minorHAnsi"/>
          <w:b/>
          <w:bCs/>
          <w:color w:val="000000"/>
        </w:rPr>
      </w:pPr>
      <w:r w:rsidRPr="004E1D55">
        <w:rPr>
          <w:rFonts w:cstheme="minorHAnsi"/>
          <w:b/>
          <w:bCs/>
          <w:color w:val="000000"/>
        </w:rPr>
        <w:t xml:space="preserve">Disenrollment: </w:t>
      </w:r>
    </w:p>
    <w:p w14:paraId="454CD7EC" w14:textId="77777777" w:rsidR="00AF7D5B" w:rsidRPr="004E1D55" w:rsidRDefault="00AF7D5B" w:rsidP="00AF7D5B">
      <w:pPr>
        <w:rPr>
          <w:rFonts w:eastAsia="Times New Roman" w:cstheme="minorHAnsi"/>
        </w:rPr>
      </w:pPr>
      <w:r w:rsidRPr="004E1D55">
        <w:rPr>
          <w:rFonts w:eastAsia="Times New Roman" w:cstheme="minorHAnsi"/>
        </w:rPr>
        <w:t>Any student who fails to attend without giving prior notification to the instructor will be dis-enrolled after the third instructional day of the term, the first Friday of the term, or the second scheduled class meeting of the course, whichever occurs first, per OSU attendance policy.</w:t>
      </w:r>
    </w:p>
    <w:p w14:paraId="3004453D" w14:textId="77777777" w:rsidR="00AF7D5B" w:rsidRPr="0079593F" w:rsidRDefault="00AF7D5B" w:rsidP="00AF7D5B">
      <w:pPr>
        <w:autoSpaceDE w:val="0"/>
        <w:autoSpaceDN w:val="0"/>
        <w:adjustRightInd w:val="0"/>
        <w:rPr>
          <w:rFonts w:cs="Times New Roman"/>
          <w:color w:val="000000"/>
          <w:sz w:val="20"/>
          <w:szCs w:val="20"/>
        </w:rPr>
      </w:pPr>
    </w:p>
    <w:p w14:paraId="3BDCCF14" w14:textId="1D687137" w:rsidR="004E1D55" w:rsidRDefault="004E1D55" w:rsidP="004E1D55">
      <w:pPr>
        <w:rPr>
          <w:bCs/>
        </w:rPr>
      </w:pPr>
      <w:r w:rsidRPr="004E1D55">
        <w:rPr>
          <w:b/>
          <w:bCs/>
        </w:rPr>
        <w:t>Credit hours and work expectations:</w:t>
      </w:r>
      <w:r w:rsidRPr="004E1D55">
        <w:t xml:space="preserve"> This is a 3 credit-hour course. According to </w:t>
      </w:r>
      <w:hyperlink r:id="rId28" w:history="1">
        <w:r w:rsidRPr="004E1D55">
          <w:rPr>
            <w:rStyle w:val="Hyperlink"/>
          </w:rPr>
          <w:t>Ohio State bylaws on instruction</w:t>
        </w:r>
      </w:hyperlink>
      <w:r w:rsidRPr="004E1D55">
        <w:t xml:space="preserve"> (go.osu.edu/credithours), </w:t>
      </w:r>
      <w:r w:rsidRPr="004E1D55">
        <w:rPr>
          <w:bCs/>
        </w:rPr>
        <w:t>students spend two hours outside of class for every hour spent in class. Since this course meets 3 hours per week, you should expect to spend 6 hours per week outside of class on course-related work.</w:t>
      </w:r>
      <w:r w:rsidRPr="004E1D55">
        <w:rPr>
          <w:b/>
          <w:bCs/>
        </w:rPr>
        <w:t xml:space="preserve">  </w:t>
      </w:r>
      <w:r w:rsidRPr="004E1D55">
        <w:rPr>
          <w:bCs/>
        </w:rPr>
        <w:t xml:space="preserve">Thus, you should be spending at least six hours per week outside of class on this course alone.  </w:t>
      </w:r>
    </w:p>
    <w:p w14:paraId="583D8C36" w14:textId="77777777" w:rsidR="00487393" w:rsidRDefault="00487393" w:rsidP="004E1D55">
      <w:pPr>
        <w:rPr>
          <w:bCs/>
        </w:rPr>
      </w:pPr>
    </w:p>
    <w:p w14:paraId="448C447C" w14:textId="77777777" w:rsidR="00487393" w:rsidRPr="00FA18A3" w:rsidRDefault="00487393" w:rsidP="00487393">
      <w:pPr>
        <w:rPr>
          <w:rFonts w:cstheme="minorHAnsi"/>
          <w:b/>
          <w:bCs/>
        </w:rPr>
      </w:pPr>
      <w:r w:rsidRPr="00FA18A3">
        <w:rPr>
          <w:rFonts w:cstheme="minorHAnsi"/>
          <w:b/>
          <w:bCs/>
        </w:rPr>
        <w:t>Religious accommodations</w:t>
      </w:r>
    </w:p>
    <w:p w14:paraId="542C12B3" w14:textId="77777777" w:rsidR="00487393" w:rsidRPr="00FA18A3" w:rsidRDefault="00487393" w:rsidP="00487393">
      <w:pPr>
        <w:rPr>
          <w:rFonts w:cstheme="minorHAnsi"/>
        </w:rPr>
      </w:pPr>
      <w:r w:rsidRPr="00FA18A3">
        <w:rPr>
          <w:rFonts w:cstheme="minorHAnsi"/>
        </w:rPr>
        <w:t>Our inclusive environment allows for religious expression. Students requesting accommodations based on faith, religious or a spiritual belief system in regard to examinations, other academic requirements or absences, are required to provide the instructor with written notice of specific dates for which the student requests alternative accommodations at the earliest possible date. For more information about religious accommodations at Ohio State, visit </w:t>
      </w:r>
      <w:hyperlink r:id="rId29" w:tgtFrame="_blank" w:history="1">
        <w:r w:rsidRPr="00FA18A3">
          <w:rPr>
            <w:rStyle w:val="Hyperlink"/>
            <w:rFonts w:cstheme="minorHAnsi"/>
          </w:rPr>
          <w:t>odi.osu.edu/religious-accommodations</w:t>
        </w:r>
      </w:hyperlink>
      <w:r w:rsidRPr="00FA18A3">
        <w:rPr>
          <w:rFonts w:cstheme="minorHAnsi"/>
        </w:rPr>
        <w:t>.</w:t>
      </w:r>
    </w:p>
    <w:p w14:paraId="39D64C12" w14:textId="77777777" w:rsidR="00487393" w:rsidRPr="00FA18A3" w:rsidRDefault="00487393" w:rsidP="00487393">
      <w:pPr>
        <w:rPr>
          <w:rFonts w:cstheme="minorHAnsi"/>
        </w:rPr>
      </w:pPr>
    </w:p>
    <w:p w14:paraId="6D312FB8" w14:textId="77777777" w:rsidR="00487393" w:rsidRPr="00FA18A3" w:rsidRDefault="00487393" w:rsidP="00487393">
      <w:pPr>
        <w:rPr>
          <w:rFonts w:cstheme="minorHAnsi"/>
          <w:b/>
          <w:bCs/>
        </w:rPr>
      </w:pPr>
      <w:r w:rsidRPr="00FA18A3">
        <w:rPr>
          <w:rFonts w:cstheme="minorHAnsi"/>
          <w:b/>
          <w:bCs/>
        </w:rPr>
        <w:t>Weather or other short-term closing</w:t>
      </w:r>
    </w:p>
    <w:p w14:paraId="1300963D" w14:textId="77777777" w:rsidR="00487393" w:rsidRPr="00FA18A3" w:rsidRDefault="00487393" w:rsidP="00487393">
      <w:pPr>
        <w:rPr>
          <w:rFonts w:cstheme="minorHAnsi"/>
        </w:rPr>
      </w:pPr>
      <w:r w:rsidRPr="00FA18A3">
        <w:rPr>
          <w:rFonts w:cstheme="minorHAnsi"/>
        </w:rPr>
        <w:t xml:space="preserve">Should in-person classes be canceled, I will notify you as to which alternative methods of teaching will be offered to ensure continuity of instruction for this class. Communication will be provided via Announcements on Carmen. </w:t>
      </w:r>
    </w:p>
    <w:p w14:paraId="3D7ECD06" w14:textId="77777777" w:rsidR="00487393" w:rsidRPr="004E1D55" w:rsidRDefault="00487393" w:rsidP="004E1D55"/>
    <w:p w14:paraId="2EE0FA18" w14:textId="77777777" w:rsidR="005757C9" w:rsidRDefault="005757C9"/>
    <w:sectPr w:rsidR="005757C9">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AD76" w14:textId="77777777" w:rsidR="0041280B" w:rsidRDefault="0041280B" w:rsidP="00B930FF">
      <w:r>
        <w:separator/>
      </w:r>
    </w:p>
  </w:endnote>
  <w:endnote w:type="continuationSeparator" w:id="0">
    <w:p w14:paraId="2E186017" w14:textId="77777777" w:rsidR="0041280B" w:rsidRDefault="0041280B" w:rsidP="00B9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D4C9" w14:textId="77777777" w:rsidR="0062489A" w:rsidRDefault="0062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0E17" w14:textId="77777777" w:rsidR="0062489A" w:rsidRDefault="00624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2F24" w14:textId="77777777" w:rsidR="0062489A" w:rsidRDefault="0062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7B7C" w14:textId="77777777" w:rsidR="0041280B" w:rsidRDefault="0041280B" w:rsidP="00B930FF">
      <w:r>
        <w:separator/>
      </w:r>
    </w:p>
  </w:footnote>
  <w:footnote w:type="continuationSeparator" w:id="0">
    <w:p w14:paraId="30850936" w14:textId="77777777" w:rsidR="0041280B" w:rsidRDefault="0041280B" w:rsidP="00B9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3196" w14:textId="77777777" w:rsidR="0062489A" w:rsidRDefault="00624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EF0B" w14:textId="77777777" w:rsidR="0062489A" w:rsidRDefault="00624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37BC" w14:textId="77777777" w:rsidR="0062489A" w:rsidRDefault="0062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C49"/>
    <w:multiLevelType w:val="hybridMultilevel"/>
    <w:tmpl w:val="43D6B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960B2"/>
    <w:multiLevelType w:val="hybridMultilevel"/>
    <w:tmpl w:val="A210AA62"/>
    <w:lvl w:ilvl="0" w:tplc="CDA23C0A">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0EDF"/>
    <w:multiLevelType w:val="hybridMultilevel"/>
    <w:tmpl w:val="755498CE"/>
    <w:lvl w:ilvl="0" w:tplc="82266A8A">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2666D"/>
    <w:multiLevelType w:val="hybridMultilevel"/>
    <w:tmpl w:val="7A942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FD6DB6"/>
    <w:multiLevelType w:val="hybridMultilevel"/>
    <w:tmpl w:val="4EB4B218"/>
    <w:lvl w:ilvl="0" w:tplc="CDA23C0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7099"/>
    <w:multiLevelType w:val="hybridMultilevel"/>
    <w:tmpl w:val="E89C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343E21"/>
    <w:multiLevelType w:val="hybridMultilevel"/>
    <w:tmpl w:val="60ACFDB4"/>
    <w:lvl w:ilvl="0" w:tplc="CDA23C0A">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B659B"/>
    <w:multiLevelType w:val="hybridMultilevel"/>
    <w:tmpl w:val="9AC899F4"/>
    <w:lvl w:ilvl="0" w:tplc="12C08B90">
      <w:start w:val="11"/>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5A250202"/>
    <w:multiLevelType w:val="hybridMultilevel"/>
    <w:tmpl w:val="5B647BD0"/>
    <w:lvl w:ilvl="0" w:tplc="04090001">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471DD"/>
    <w:multiLevelType w:val="hybridMultilevel"/>
    <w:tmpl w:val="E98C47DA"/>
    <w:lvl w:ilvl="0" w:tplc="82266A8A">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915F66"/>
    <w:multiLevelType w:val="hybridMultilevel"/>
    <w:tmpl w:val="2B98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9748381">
    <w:abstractNumId w:val="3"/>
  </w:num>
  <w:num w:numId="2" w16cid:durableId="1467965512">
    <w:abstractNumId w:val="6"/>
  </w:num>
  <w:num w:numId="3" w16cid:durableId="1070616775">
    <w:abstractNumId w:val="1"/>
  </w:num>
  <w:num w:numId="4" w16cid:durableId="115491090">
    <w:abstractNumId w:val="4"/>
  </w:num>
  <w:num w:numId="5" w16cid:durableId="1848593084">
    <w:abstractNumId w:val="7"/>
  </w:num>
  <w:num w:numId="6" w16cid:durableId="71661772">
    <w:abstractNumId w:val="8"/>
  </w:num>
  <w:num w:numId="7" w16cid:durableId="1940940650">
    <w:abstractNumId w:val="0"/>
  </w:num>
  <w:num w:numId="8" w16cid:durableId="1801531091">
    <w:abstractNumId w:val="10"/>
  </w:num>
  <w:num w:numId="9" w16cid:durableId="412436988">
    <w:abstractNumId w:val="5"/>
  </w:num>
  <w:num w:numId="10" w16cid:durableId="1564945478">
    <w:abstractNumId w:val="2"/>
  </w:num>
  <w:num w:numId="11" w16cid:durableId="104426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C9"/>
    <w:rsid w:val="0000020F"/>
    <w:rsid w:val="00002AFC"/>
    <w:rsid w:val="00005167"/>
    <w:rsid w:val="00015596"/>
    <w:rsid w:val="00030139"/>
    <w:rsid w:val="000638FE"/>
    <w:rsid w:val="000B0339"/>
    <w:rsid w:val="000E5CBA"/>
    <w:rsid w:val="000F57BB"/>
    <w:rsid w:val="00147236"/>
    <w:rsid w:val="0014735A"/>
    <w:rsid w:val="001713F5"/>
    <w:rsid w:val="00175F73"/>
    <w:rsid w:val="001D5A18"/>
    <w:rsid w:val="001E06FA"/>
    <w:rsid w:val="001F7702"/>
    <w:rsid w:val="002077A7"/>
    <w:rsid w:val="00210D10"/>
    <w:rsid w:val="00212A2C"/>
    <w:rsid w:val="002131DC"/>
    <w:rsid w:val="0021559C"/>
    <w:rsid w:val="002515B7"/>
    <w:rsid w:val="00277CA9"/>
    <w:rsid w:val="00282627"/>
    <w:rsid w:val="00294C9A"/>
    <w:rsid w:val="002B38EC"/>
    <w:rsid w:val="002B6E95"/>
    <w:rsid w:val="002C6E39"/>
    <w:rsid w:val="002E3038"/>
    <w:rsid w:val="00300AC7"/>
    <w:rsid w:val="00320BCA"/>
    <w:rsid w:val="00322366"/>
    <w:rsid w:val="00323452"/>
    <w:rsid w:val="0033119D"/>
    <w:rsid w:val="003579B3"/>
    <w:rsid w:val="00381077"/>
    <w:rsid w:val="003A11A2"/>
    <w:rsid w:val="003B1F1E"/>
    <w:rsid w:val="003F329E"/>
    <w:rsid w:val="0041280B"/>
    <w:rsid w:val="00435E69"/>
    <w:rsid w:val="00456069"/>
    <w:rsid w:val="00460CCD"/>
    <w:rsid w:val="00487393"/>
    <w:rsid w:val="004A3BF0"/>
    <w:rsid w:val="004A6B50"/>
    <w:rsid w:val="004D636E"/>
    <w:rsid w:val="004E1D55"/>
    <w:rsid w:val="004F5A64"/>
    <w:rsid w:val="004F6C7C"/>
    <w:rsid w:val="00506900"/>
    <w:rsid w:val="00535AD4"/>
    <w:rsid w:val="0054311B"/>
    <w:rsid w:val="005664F4"/>
    <w:rsid w:val="005757C9"/>
    <w:rsid w:val="00594872"/>
    <w:rsid w:val="00596376"/>
    <w:rsid w:val="005B2CD9"/>
    <w:rsid w:val="005D6921"/>
    <w:rsid w:val="0062489A"/>
    <w:rsid w:val="0063593E"/>
    <w:rsid w:val="00643505"/>
    <w:rsid w:val="00694C1D"/>
    <w:rsid w:val="006B40EC"/>
    <w:rsid w:val="006B418F"/>
    <w:rsid w:val="006F3F47"/>
    <w:rsid w:val="00707BE6"/>
    <w:rsid w:val="0071728A"/>
    <w:rsid w:val="007309EC"/>
    <w:rsid w:val="00736836"/>
    <w:rsid w:val="0074463F"/>
    <w:rsid w:val="0076749C"/>
    <w:rsid w:val="007A5C71"/>
    <w:rsid w:val="00825B97"/>
    <w:rsid w:val="00833992"/>
    <w:rsid w:val="00856EB8"/>
    <w:rsid w:val="00882EBE"/>
    <w:rsid w:val="008974AB"/>
    <w:rsid w:val="008A3E61"/>
    <w:rsid w:val="008B300A"/>
    <w:rsid w:val="008B459F"/>
    <w:rsid w:val="008C1DC5"/>
    <w:rsid w:val="008C3EA9"/>
    <w:rsid w:val="008C5370"/>
    <w:rsid w:val="008D5887"/>
    <w:rsid w:val="008E41C0"/>
    <w:rsid w:val="008E7E98"/>
    <w:rsid w:val="00920BE6"/>
    <w:rsid w:val="00922983"/>
    <w:rsid w:val="00923C1B"/>
    <w:rsid w:val="00925F01"/>
    <w:rsid w:val="009340A6"/>
    <w:rsid w:val="00935657"/>
    <w:rsid w:val="00947B76"/>
    <w:rsid w:val="00951D06"/>
    <w:rsid w:val="00990FB1"/>
    <w:rsid w:val="0099162D"/>
    <w:rsid w:val="009960C8"/>
    <w:rsid w:val="009C2ECE"/>
    <w:rsid w:val="009C717F"/>
    <w:rsid w:val="00A35257"/>
    <w:rsid w:val="00A565F6"/>
    <w:rsid w:val="00A62669"/>
    <w:rsid w:val="00A732D8"/>
    <w:rsid w:val="00A74CDD"/>
    <w:rsid w:val="00A8072D"/>
    <w:rsid w:val="00AA1A8C"/>
    <w:rsid w:val="00AB372D"/>
    <w:rsid w:val="00AB6590"/>
    <w:rsid w:val="00AB6ECC"/>
    <w:rsid w:val="00AE2735"/>
    <w:rsid w:val="00AF62EF"/>
    <w:rsid w:val="00AF7D5B"/>
    <w:rsid w:val="00B51031"/>
    <w:rsid w:val="00B62BFB"/>
    <w:rsid w:val="00B930FF"/>
    <w:rsid w:val="00B96A23"/>
    <w:rsid w:val="00BA2512"/>
    <w:rsid w:val="00BA368D"/>
    <w:rsid w:val="00BD5C19"/>
    <w:rsid w:val="00BE56E2"/>
    <w:rsid w:val="00BF39CF"/>
    <w:rsid w:val="00BF4937"/>
    <w:rsid w:val="00C03F61"/>
    <w:rsid w:val="00C20989"/>
    <w:rsid w:val="00C26E7C"/>
    <w:rsid w:val="00C30A9A"/>
    <w:rsid w:val="00C535B6"/>
    <w:rsid w:val="00C56865"/>
    <w:rsid w:val="00C91FDB"/>
    <w:rsid w:val="00C95865"/>
    <w:rsid w:val="00CC3C61"/>
    <w:rsid w:val="00CF0C7C"/>
    <w:rsid w:val="00D03E17"/>
    <w:rsid w:val="00D06FAD"/>
    <w:rsid w:val="00D25F7A"/>
    <w:rsid w:val="00D35788"/>
    <w:rsid w:val="00D85244"/>
    <w:rsid w:val="00D87792"/>
    <w:rsid w:val="00D90C40"/>
    <w:rsid w:val="00DA114F"/>
    <w:rsid w:val="00DC0031"/>
    <w:rsid w:val="00DC30B1"/>
    <w:rsid w:val="00DC6B81"/>
    <w:rsid w:val="00DE5B24"/>
    <w:rsid w:val="00DF00AB"/>
    <w:rsid w:val="00E140A0"/>
    <w:rsid w:val="00E2491E"/>
    <w:rsid w:val="00E40A94"/>
    <w:rsid w:val="00E503E2"/>
    <w:rsid w:val="00E50A44"/>
    <w:rsid w:val="00E544A1"/>
    <w:rsid w:val="00E56646"/>
    <w:rsid w:val="00EB5B92"/>
    <w:rsid w:val="00EC3A7D"/>
    <w:rsid w:val="00EE041C"/>
    <w:rsid w:val="00EE4DE2"/>
    <w:rsid w:val="00F25B25"/>
    <w:rsid w:val="00F521AD"/>
    <w:rsid w:val="00F7089F"/>
    <w:rsid w:val="00F83182"/>
    <w:rsid w:val="00FA1456"/>
    <w:rsid w:val="00FA41C4"/>
    <w:rsid w:val="00FD6658"/>
    <w:rsid w:val="0972CE28"/>
    <w:rsid w:val="0DB75321"/>
    <w:rsid w:val="10B400FD"/>
    <w:rsid w:val="1B660597"/>
    <w:rsid w:val="23B46A08"/>
    <w:rsid w:val="2EE752D1"/>
    <w:rsid w:val="3D68384B"/>
    <w:rsid w:val="57937D4A"/>
    <w:rsid w:val="5ACBDCD1"/>
    <w:rsid w:val="5D6453F9"/>
    <w:rsid w:val="64F1E476"/>
    <w:rsid w:val="6D32032C"/>
    <w:rsid w:val="6D94F459"/>
    <w:rsid w:val="7A1C76FE"/>
    <w:rsid w:val="7D2B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BB14"/>
  <w15:docId w15:val="{DEE2695A-8378-49D0-A387-9A29BD1E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7C9"/>
    <w:rPr>
      <w:rFonts w:ascii="Tahoma" w:hAnsi="Tahoma" w:cs="Tahoma"/>
      <w:sz w:val="16"/>
      <w:szCs w:val="16"/>
    </w:rPr>
  </w:style>
  <w:style w:type="character" w:customStyle="1" w:styleId="BalloonTextChar">
    <w:name w:val="Balloon Text Char"/>
    <w:basedOn w:val="DefaultParagraphFont"/>
    <w:link w:val="BalloonText"/>
    <w:uiPriority w:val="99"/>
    <w:semiHidden/>
    <w:rsid w:val="005757C9"/>
    <w:rPr>
      <w:rFonts w:ascii="Tahoma" w:hAnsi="Tahoma" w:cs="Tahoma"/>
      <w:sz w:val="16"/>
      <w:szCs w:val="16"/>
    </w:rPr>
  </w:style>
  <w:style w:type="paragraph" w:styleId="Header">
    <w:name w:val="header"/>
    <w:basedOn w:val="Normal"/>
    <w:link w:val="HeaderChar"/>
    <w:uiPriority w:val="99"/>
    <w:unhideWhenUsed/>
    <w:rsid w:val="00B930FF"/>
    <w:pPr>
      <w:tabs>
        <w:tab w:val="center" w:pos="4680"/>
        <w:tab w:val="right" w:pos="9360"/>
      </w:tabs>
    </w:pPr>
  </w:style>
  <w:style w:type="character" w:customStyle="1" w:styleId="HeaderChar">
    <w:name w:val="Header Char"/>
    <w:basedOn w:val="DefaultParagraphFont"/>
    <w:link w:val="Header"/>
    <w:uiPriority w:val="99"/>
    <w:rsid w:val="00B930FF"/>
  </w:style>
  <w:style w:type="paragraph" w:styleId="Footer">
    <w:name w:val="footer"/>
    <w:basedOn w:val="Normal"/>
    <w:link w:val="FooterChar"/>
    <w:uiPriority w:val="99"/>
    <w:unhideWhenUsed/>
    <w:rsid w:val="00B930FF"/>
    <w:pPr>
      <w:tabs>
        <w:tab w:val="center" w:pos="4680"/>
        <w:tab w:val="right" w:pos="9360"/>
      </w:tabs>
    </w:pPr>
  </w:style>
  <w:style w:type="character" w:customStyle="1" w:styleId="FooterChar">
    <w:name w:val="Footer Char"/>
    <w:basedOn w:val="DefaultParagraphFont"/>
    <w:link w:val="Footer"/>
    <w:uiPriority w:val="99"/>
    <w:rsid w:val="00B930FF"/>
  </w:style>
  <w:style w:type="character" w:styleId="Hyperlink">
    <w:name w:val="Hyperlink"/>
    <w:basedOn w:val="DefaultParagraphFont"/>
    <w:uiPriority w:val="99"/>
    <w:unhideWhenUsed/>
    <w:rsid w:val="008B300A"/>
    <w:rPr>
      <w:color w:val="0000FF" w:themeColor="hyperlink"/>
      <w:u w:val="single"/>
    </w:rPr>
  </w:style>
  <w:style w:type="paragraph" w:styleId="ListParagraph">
    <w:name w:val="List Paragraph"/>
    <w:aliases w:val="List Numbered,Numbered List"/>
    <w:basedOn w:val="Normal"/>
    <w:uiPriority w:val="34"/>
    <w:qFormat/>
    <w:rsid w:val="005B2CD9"/>
    <w:pPr>
      <w:ind w:left="720"/>
      <w:contextualSpacing/>
    </w:pPr>
  </w:style>
  <w:style w:type="character" w:styleId="UnresolvedMention">
    <w:name w:val="Unresolved Mention"/>
    <w:basedOn w:val="DefaultParagraphFont"/>
    <w:uiPriority w:val="99"/>
    <w:semiHidden/>
    <w:unhideWhenUsed/>
    <w:rsid w:val="004E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quity.osu.edu/" TargetMode="External"/><Relationship Id="rId18" Type="http://schemas.openxmlformats.org/officeDocument/2006/relationships/hyperlink" Target="tel:+8002738255" TargetMode="External"/><Relationship Id="rId26" Type="http://schemas.openxmlformats.org/officeDocument/2006/relationships/hyperlink" Target="mailto:slds@osu.edu" TargetMode="External"/><Relationship Id="rId21" Type="http://schemas.openxmlformats.org/officeDocument/2006/relationships/hyperlink" Target="tel:+6142923307"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go.osu.edu/cardinal-rules" TargetMode="External"/><Relationship Id="rId17" Type="http://schemas.openxmlformats.org/officeDocument/2006/relationships/hyperlink" Target="https://suicidepreventionlifeline.org/" TargetMode="External"/><Relationship Id="rId25" Type="http://schemas.openxmlformats.org/officeDocument/2006/relationships/hyperlink" Target="https://safeandhealthy.osu.edu/tracing-isolation-quarantin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tel:+6142925766" TargetMode="External"/><Relationship Id="rId20" Type="http://schemas.openxmlformats.org/officeDocument/2006/relationships/hyperlink" Target="https://slds.osu.edu/" TargetMode="External"/><Relationship Id="rId29" Type="http://schemas.openxmlformats.org/officeDocument/2006/relationships/hyperlink" Target="https://click.t.osu.edu/?qs=5752de7470b567c785fa816b36fe287009a142751d127f1eeea7760e1722c902e28c0b5e0fe7df3fda066e441cb637c4dba40f6cc3ba28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su.edu/ten-suggestions" TargetMode="External"/><Relationship Id="rId24" Type="http://schemas.openxmlformats.org/officeDocument/2006/relationships/hyperlink" Target="http://www.osu.edu/map/building.php?building=09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osu.edu/ccsondemand" TargetMode="External"/><Relationship Id="rId23" Type="http://schemas.openxmlformats.org/officeDocument/2006/relationships/hyperlink" Target="mailto:slds@osu.edu" TargetMode="External"/><Relationship Id="rId28" Type="http://schemas.openxmlformats.org/officeDocument/2006/relationships/hyperlink" Target="https://go.osu.edu/credithours" TargetMode="External"/><Relationship Id="rId36" Type="http://schemas.openxmlformats.org/officeDocument/2006/relationships/fontTable" Target="fontTable.xml"/><Relationship Id="rId10" Type="http://schemas.openxmlformats.org/officeDocument/2006/relationships/hyperlink" Target="https://go.osu.edu/coam" TargetMode="External"/><Relationship Id="rId19" Type="http://schemas.openxmlformats.org/officeDocument/2006/relationships/hyperlink" Target="https://go.osu.edu/wellnessapp"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tudentconduct.osu.edu/" TargetMode="External"/><Relationship Id="rId14" Type="http://schemas.openxmlformats.org/officeDocument/2006/relationships/hyperlink" Target="mailto:equity@osu.edu" TargetMode="External"/><Relationship Id="rId22" Type="http://schemas.openxmlformats.org/officeDocument/2006/relationships/hyperlink" Target="https://slds.osu.edu/" TargetMode="External"/><Relationship Id="rId27" Type="http://schemas.openxmlformats.org/officeDocument/2006/relationships/hyperlink" Target="https://slds.osu.ed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hbsp.harvard.edu/import/132123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12099</Characters>
  <Application>Microsoft Office Word</Application>
  <DocSecurity>4</DocSecurity>
  <Lines>100</Lines>
  <Paragraphs>28</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College of Business</dc:creator>
  <cp:lastModifiedBy>Malloy, Nina</cp:lastModifiedBy>
  <cp:revision>2</cp:revision>
  <cp:lastPrinted>2022-08-11T19:08:00Z</cp:lastPrinted>
  <dcterms:created xsi:type="dcterms:W3CDTF">2025-08-18T13:42:00Z</dcterms:created>
  <dcterms:modified xsi:type="dcterms:W3CDTF">2025-08-18T13:42:00Z</dcterms:modified>
</cp:coreProperties>
</file>