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64" w:rsidRPr="0041453A" w:rsidRDefault="006A4DD5">
      <w:pPr>
        <w:rPr>
          <w:rFonts w:ascii="Arial" w:hAnsi="Arial" w:cs="Arial"/>
          <w:color w:val="00B050"/>
          <w:sz w:val="24"/>
          <w:szCs w:val="24"/>
        </w:rPr>
      </w:pPr>
      <w:r w:rsidRPr="0041453A">
        <w:rPr>
          <w:rFonts w:ascii="Arial" w:hAnsi="Arial" w:cs="Arial"/>
          <w:color w:val="00B050"/>
          <w:sz w:val="24"/>
          <w:szCs w:val="24"/>
        </w:rPr>
        <w:t xml:space="preserve">Empires and Alliances – </w:t>
      </w:r>
      <w:r w:rsidR="00332505" w:rsidRPr="0041453A">
        <w:rPr>
          <w:rFonts w:ascii="Arial" w:hAnsi="Arial" w:cs="Arial"/>
          <w:color w:val="00B050"/>
          <w:sz w:val="24"/>
          <w:szCs w:val="24"/>
        </w:rPr>
        <w:t xml:space="preserve">Updated </w:t>
      </w:r>
      <w:r w:rsidRPr="0041453A">
        <w:rPr>
          <w:rFonts w:ascii="Arial" w:hAnsi="Arial" w:cs="Arial"/>
          <w:color w:val="00B050"/>
          <w:sz w:val="24"/>
          <w:szCs w:val="24"/>
        </w:rPr>
        <w:t>Errata</w:t>
      </w:r>
      <w:r w:rsidRPr="0041453A">
        <w:rPr>
          <w:rFonts w:ascii="Arial" w:hAnsi="Arial" w:cs="Arial"/>
          <w:color w:val="00B050"/>
          <w:sz w:val="24"/>
          <w:szCs w:val="24"/>
        </w:rPr>
        <w:tab/>
      </w:r>
      <w:r w:rsidRPr="0041453A">
        <w:rPr>
          <w:rFonts w:ascii="Arial" w:hAnsi="Arial" w:cs="Arial"/>
          <w:color w:val="00B050"/>
          <w:sz w:val="24"/>
          <w:szCs w:val="24"/>
        </w:rPr>
        <w:tab/>
      </w:r>
      <w:r w:rsidRPr="0041453A">
        <w:rPr>
          <w:rFonts w:ascii="Arial" w:hAnsi="Arial" w:cs="Arial"/>
          <w:color w:val="00B050"/>
          <w:sz w:val="24"/>
          <w:szCs w:val="24"/>
        </w:rPr>
        <w:tab/>
      </w:r>
      <w:r w:rsidRPr="0041453A">
        <w:rPr>
          <w:rFonts w:ascii="Arial" w:hAnsi="Arial" w:cs="Arial"/>
          <w:color w:val="00B050"/>
          <w:sz w:val="24"/>
          <w:szCs w:val="24"/>
        </w:rPr>
        <w:tab/>
      </w:r>
      <w:r w:rsidRPr="0041453A">
        <w:rPr>
          <w:rFonts w:ascii="Arial" w:hAnsi="Arial" w:cs="Arial"/>
          <w:color w:val="00B050"/>
          <w:sz w:val="24"/>
          <w:szCs w:val="24"/>
        </w:rPr>
        <w:tab/>
        <w:t xml:space="preserve">May </w:t>
      </w:r>
      <w:r w:rsidR="00332505" w:rsidRPr="0041453A">
        <w:rPr>
          <w:rFonts w:ascii="Arial" w:hAnsi="Arial" w:cs="Arial"/>
          <w:color w:val="00B050"/>
          <w:sz w:val="24"/>
          <w:szCs w:val="24"/>
        </w:rPr>
        <w:t>2</w:t>
      </w:r>
      <w:r w:rsidR="00646A02" w:rsidRPr="0041453A">
        <w:rPr>
          <w:rFonts w:ascii="Arial" w:hAnsi="Arial" w:cs="Arial"/>
          <w:color w:val="00B050"/>
          <w:sz w:val="24"/>
          <w:szCs w:val="24"/>
        </w:rPr>
        <w:t>7</w:t>
      </w:r>
      <w:r w:rsidRPr="0041453A">
        <w:rPr>
          <w:rFonts w:ascii="Arial" w:hAnsi="Arial" w:cs="Arial"/>
          <w:color w:val="00B050"/>
          <w:sz w:val="24"/>
          <w:szCs w:val="24"/>
        </w:rPr>
        <w:t>, 20</w:t>
      </w:r>
      <w:r w:rsidR="004F1DD7">
        <w:rPr>
          <w:rFonts w:ascii="Arial" w:hAnsi="Arial" w:cs="Arial"/>
          <w:color w:val="00B050"/>
          <w:sz w:val="24"/>
          <w:szCs w:val="24"/>
        </w:rPr>
        <w:t>18</w:t>
      </w:r>
      <w:bookmarkStart w:id="0" w:name="_GoBack"/>
      <w:bookmarkEnd w:id="0"/>
    </w:p>
    <w:p w:rsidR="00E30253" w:rsidRDefault="00E30253" w:rsidP="00E30253">
      <w:pPr>
        <w:shd w:val="clear" w:color="auto" w:fill="FFFFFF"/>
        <w:spacing w:after="0" w:line="240" w:lineRule="auto"/>
        <w:rPr>
          <w:rFonts w:ascii="Arial" w:eastAsia="Times New Roman" w:hAnsi="Arial" w:cs="Arial"/>
          <w:color w:val="000000" w:themeColor="text1"/>
          <w:sz w:val="24"/>
          <w:szCs w:val="24"/>
        </w:rPr>
      </w:pPr>
    </w:p>
    <w:p w:rsidR="000A5B61" w:rsidRDefault="000A5B61" w:rsidP="00E30253">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Existing Errata:</w:t>
      </w:r>
    </w:p>
    <w:p w:rsidR="000A5B61" w:rsidRPr="00332505" w:rsidRDefault="000A5B61" w:rsidP="00E30253">
      <w:pPr>
        <w:shd w:val="clear" w:color="auto" w:fill="FFFFFF"/>
        <w:spacing w:after="0" w:line="240" w:lineRule="auto"/>
        <w:rPr>
          <w:rFonts w:ascii="Arial" w:eastAsia="Times New Roman" w:hAnsi="Arial" w:cs="Arial"/>
          <w:color w:val="000000" w:themeColor="text1"/>
          <w:sz w:val="24"/>
          <w:szCs w:val="24"/>
        </w:rPr>
      </w:pP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1. Scenarios Rule 2.63 c. - There is no Bulgarian fort.</w:t>
      </w: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2. German OB - Add "JAN 19   Add (1) 2-2-2 TANK (1)"</w:t>
      </w: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   </w:t>
      </w: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3. Counters - Tanks should not have a "X" unit size on top. They should be blank in that space like Artillery units.</w:t>
      </w: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 xml:space="preserve">4. French OB - Tanks are abbreviated with "TNK". The British OB spells out TANK. Seems like the French TNK should be spelled out like in the British (and the German) </w:t>
      </w:r>
      <w:proofErr w:type="spellStart"/>
      <w:r w:rsidRPr="00332505">
        <w:rPr>
          <w:rFonts w:ascii="Arial" w:eastAsia="Times New Roman" w:hAnsi="Arial" w:cs="Arial"/>
          <w:color w:val="000000" w:themeColor="text1"/>
          <w:sz w:val="24"/>
          <w:szCs w:val="24"/>
          <w:shd w:val="clear" w:color="auto" w:fill="FFFFFF"/>
        </w:rPr>
        <w:t>OBs.</w:t>
      </w:r>
      <w:proofErr w:type="spellEnd"/>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5. Rule 3.17 b. - Add "Britain   K - Kitchener"</w:t>
      </w: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shd w:val="clear" w:color="auto" w:fill="FFFFFF"/>
        </w:rPr>
      </w:pPr>
      <w:r w:rsidRPr="00332505">
        <w:rPr>
          <w:rFonts w:ascii="Arial" w:eastAsia="Times New Roman" w:hAnsi="Arial" w:cs="Arial"/>
          <w:color w:val="000000" w:themeColor="text1"/>
          <w:sz w:val="24"/>
          <w:szCs w:val="24"/>
          <w:shd w:val="clear" w:color="auto" w:fill="FFFFFF"/>
        </w:rPr>
        <w:t>6. Rule 22.81 - Germany may break down </w:t>
      </w:r>
      <w:r w:rsidRPr="00332505">
        <w:rPr>
          <w:rFonts w:ascii="Arial" w:eastAsia="Times New Roman" w:hAnsi="Arial" w:cs="Arial"/>
          <w:bCs/>
          <w:color w:val="000000" w:themeColor="text1"/>
          <w:sz w:val="24"/>
          <w:szCs w:val="24"/>
          <w:shd w:val="clear" w:color="auto" w:fill="FFFFFF"/>
        </w:rPr>
        <w:t>four</w:t>
      </w:r>
      <w:r w:rsidRPr="00332505">
        <w:rPr>
          <w:rFonts w:ascii="Arial" w:eastAsia="Times New Roman" w:hAnsi="Arial" w:cs="Arial"/>
          <w:color w:val="000000" w:themeColor="text1"/>
          <w:sz w:val="24"/>
          <w:szCs w:val="24"/>
          <w:shd w:val="clear" w:color="auto" w:fill="FFFFFF"/>
        </w:rPr>
        <w:t> infantry corps, not three.</w:t>
      </w:r>
    </w:p>
    <w:p w:rsidR="00332505" w:rsidRDefault="00332505" w:rsidP="00E30253">
      <w:pPr>
        <w:shd w:val="clear" w:color="auto" w:fill="FFFFFF"/>
        <w:spacing w:after="0" w:line="240" w:lineRule="auto"/>
        <w:rPr>
          <w:rFonts w:ascii="Arial" w:eastAsia="Times New Roman" w:hAnsi="Arial" w:cs="Arial"/>
          <w:color w:val="008000"/>
          <w:sz w:val="24"/>
          <w:szCs w:val="24"/>
          <w:shd w:val="clear" w:color="auto" w:fill="FFFFFF"/>
        </w:rPr>
      </w:pPr>
    </w:p>
    <w:p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New Errata:</w:t>
      </w:r>
    </w:p>
    <w:p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p>
    <w:p w:rsidR="00332505" w:rsidRDefault="00332505"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7. Rule 13.641 Clarification – Attacks at odds greater than 7-1 are treated as a 7-1 with an additional +1 DRM.</w:t>
      </w:r>
    </w:p>
    <w:p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p>
    <w:p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8. Rule 13.7 EX Result Clarification – The smaller force is the force with the fewest number of printed combat factors (See Rule 13.71).</w:t>
      </w:r>
    </w:p>
    <w:p w:rsidR="00D41D36" w:rsidRDefault="00D41D36" w:rsidP="00E30253">
      <w:pPr>
        <w:shd w:val="clear" w:color="auto" w:fill="FFFFFF"/>
        <w:spacing w:after="0" w:line="240" w:lineRule="auto"/>
        <w:rPr>
          <w:rFonts w:ascii="Arial" w:eastAsia="Times New Roman" w:hAnsi="Arial" w:cs="Arial"/>
          <w:color w:val="008000"/>
          <w:sz w:val="24"/>
          <w:szCs w:val="24"/>
          <w:shd w:val="clear" w:color="auto" w:fill="FFFFFF"/>
        </w:rPr>
      </w:pPr>
    </w:p>
    <w:p w:rsidR="00D41D36"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9</w:t>
      </w:r>
      <w:r w:rsidR="00D41D36">
        <w:rPr>
          <w:rFonts w:ascii="Arial" w:eastAsia="Times New Roman" w:hAnsi="Arial" w:cs="Arial"/>
          <w:color w:val="008000"/>
          <w:sz w:val="24"/>
          <w:szCs w:val="24"/>
          <w:shd w:val="clear" w:color="auto" w:fill="FFFFFF"/>
        </w:rPr>
        <w:t>. Beachheads –</w:t>
      </w:r>
    </w:p>
    <w:p w:rsidR="00D41D36" w:rsidRDefault="00D41D36" w:rsidP="00E30253">
      <w:pPr>
        <w:shd w:val="clear" w:color="auto" w:fill="FFFFFF"/>
        <w:spacing w:after="0" w:line="240" w:lineRule="auto"/>
        <w:rPr>
          <w:rFonts w:ascii="Arial" w:eastAsia="Times New Roman" w:hAnsi="Arial" w:cs="Arial"/>
          <w:color w:val="008000"/>
          <w:sz w:val="24"/>
          <w:szCs w:val="24"/>
          <w:shd w:val="clear" w:color="auto" w:fill="FFFFFF"/>
        </w:rPr>
      </w:pPr>
    </w:p>
    <w:p w:rsidR="00D41D36" w:rsidRPr="00D41D36"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Add two Beachhead markers to the counter mix.</w:t>
      </w:r>
    </w:p>
    <w:p w:rsidR="00D41D36" w:rsidRDefault="00D41D36" w:rsidP="00D41D36">
      <w:pPr>
        <w:shd w:val="clear" w:color="auto" w:fill="FFFFFF"/>
        <w:spacing w:after="0" w:line="240" w:lineRule="auto"/>
        <w:ind w:left="264"/>
        <w:rPr>
          <w:rFonts w:ascii="Arial" w:eastAsia="Times New Roman" w:hAnsi="Arial" w:cs="Arial"/>
          <w:color w:val="008000"/>
          <w:sz w:val="24"/>
          <w:szCs w:val="24"/>
          <w:shd w:val="clear" w:color="auto" w:fill="FFFFFF"/>
        </w:rPr>
      </w:pPr>
    </w:p>
    <w:p w:rsidR="00D41D36" w:rsidRPr="00D41D36"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Rule 11.72 – A Beachhead marker may be placed in an invaded hex if at least one invading unit successfully lands.</w:t>
      </w:r>
    </w:p>
    <w:p w:rsidR="00D41D36" w:rsidRPr="00D41D36" w:rsidRDefault="00D41D36" w:rsidP="00D41D36">
      <w:pPr>
        <w:pStyle w:val="ListParagraph"/>
        <w:rPr>
          <w:rFonts w:ascii="Arial" w:eastAsia="Times New Roman" w:hAnsi="Arial" w:cs="Arial"/>
          <w:color w:val="008000"/>
          <w:sz w:val="24"/>
          <w:szCs w:val="24"/>
          <w:shd w:val="clear" w:color="auto" w:fill="FFFFFF"/>
        </w:rPr>
      </w:pPr>
    </w:p>
    <w:p w:rsidR="00D41D36" w:rsidRPr="00D41D36"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Rule 11.72 – The Allied player may voluntarily pick up a Beachhead marker during his Reinforcement Phase.</w:t>
      </w:r>
    </w:p>
    <w:p w:rsidR="00D41D36" w:rsidRPr="00D41D36" w:rsidRDefault="00D41D36" w:rsidP="00D41D36">
      <w:pPr>
        <w:pStyle w:val="ListParagraph"/>
        <w:rPr>
          <w:rFonts w:ascii="Arial" w:eastAsia="Times New Roman" w:hAnsi="Arial" w:cs="Arial"/>
          <w:color w:val="008000"/>
          <w:sz w:val="24"/>
          <w:szCs w:val="24"/>
          <w:shd w:val="clear" w:color="auto" w:fill="FFFFFF"/>
        </w:rPr>
      </w:pPr>
    </w:p>
    <w:p w:rsidR="00D41D36" w:rsidRPr="00D41D36"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Rule 11.1 – The Allied player may also use sea movement to or from a Beachhead marker.</w:t>
      </w:r>
    </w:p>
    <w:p w:rsidR="00D41D36" w:rsidRPr="00D41D36" w:rsidRDefault="00D41D36" w:rsidP="00D41D36">
      <w:pPr>
        <w:shd w:val="clear" w:color="auto" w:fill="FFFFFF"/>
        <w:spacing w:after="0" w:line="240" w:lineRule="auto"/>
        <w:rPr>
          <w:rFonts w:ascii="Arial" w:eastAsia="Times New Roman" w:hAnsi="Arial" w:cs="Arial"/>
          <w:color w:val="000000"/>
          <w:sz w:val="24"/>
          <w:szCs w:val="24"/>
        </w:rPr>
      </w:pPr>
      <w:r w:rsidRPr="00D41D36">
        <w:rPr>
          <w:rFonts w:ascii="Arial" w:eastAsia="Times New Roman" w:hAnsi="Arial" w:cs="Arial"/>
          <w:color w:val="008000"/>
          <w:sz w:val="24"/>
          <w:szCs w:val="24"/>
          <w:shd w:val="clear" w:color="auto" w:fill="FFFFFF"/>
        </w:rPr>
        <w:tab/>
      </w:r>
    </w:p>
    <w:p w:rsidR="006A4DD5" w:rsidRPr="00501286" w:rsidRDefault="000A5B61">
      <w:pPr>
        <w:rPr>
          <w:rFonts w:ascii="Arial" w:hAnsi="Arial" w:cs="Arial"/>
          <w:color w:val="00B050"/>
          <w:sz w:val="24"/>
          <w:szCs w:val="24"/>
        </w:rPr>
      </w:pPr>
      <w:r>
        <w:rPr>
          <w:rFonts w:ascii="Arial" w:hAnsi="Arial" w:cs="Arial"/>
          <w:color w:val="00B050"/>
          <w:sz w:val="24"/>
          <w:szCs w:val="24"/>
        </w:rPr>
        <w:t>10</w:t>
      </w:r>
      <w:r w:rsidR="00D41D36" w:rsidRPr="00501286">
        <w:rPr>
          <w:rFonts w:ascii="Arial" w:hAnsi="Arial" w:cs="Arial"/>
          <w:color w:val="00B050"/>
          <w:sz w:val="24"/>
          <w:szCs w:val="24"/>
        </w:rPr>
        <w:t xml:space="preserve">. Air Units – </w:t>
      </w:r>
    </w:p>
    <w:p w:rsidR="005F1CFF" w:rsidRDefault="00D41D36">
      <w:pPr>
        <w:rPr>
          <w:rFonts w:ascii="Arial" w:hAnsi="Arial" w:cs="Arial"/>
          <w:color w:val="00B050"/>
          <w:sz w:val="24"/>
          <w:szCs w:val="24"/>
        </w:rPr>
      </w:pPr>
      <w:r>
        <w:rPr>
          <w:rFonts w:ascii="Arial" w:hAnsi="Arial" w:cs="Arial"/>
          <w:color w:val="00B050"/>
          <w:sz w:val="24"/>
          <w:szCs w:val="24"/>
        </w:rPr>
        <w:t xml:space="preserve">    a.   Rule 16.42 – An air unit</w:t>
      </w:r>
      <w:r w:rsidR="005F1CFF">
        <w:rPr>
          <w:rFonts w:ascii="Arial" w:hAnsi="Arial" w:cs="Arial"/>
          <w:color w:val="00B050"/>
          <w:sz w:val="24"/>
          <w:szCs w:val="24"/>
        </w:rPr>
        <w:t xml:space="preserve"> cannot be attacked. If an enemy unit advances into a hex containing an air unit, it is relocated per Rule 6.3.</w:t>
      </w:r>
    </w:p>
    <w:p w:rsidR="005F1CFF" w:rsidRDefault="005F1CFF">
      <w:pPr>
        <w:rPr>
          <w:rFonts w:ascii="Arial" w:hAnsi="Arial" w:cs="Arial"/>
          <w:color w:val="00B050"/>
          <w:sz w:val="24"/>
          <w:szCs w:val="24"/>
        </w:rPr>
      </w:pPr>
      <w:r>
        <w:rPr>
          <w:rFonts w:ascii="Arial" w:hAnsi="Arial" w:cs="Arial"/>
          <w:color w:val="00B050"/>
          <w:sz w:val="24"/>
          <w:szCs w:val="24"/>
        </w:rPr>
        <w:t xml:space="preserve">    b.   Add to Rule 14.62 – Otherwise, air units are unaffected</w:t>
      </w:r>
      <w:r w:rsidR="00F3483F">
        <w:rPr>
          <w:rFonts w:ascii="Arial" w:hAnsi="Arial" w:cs="Arial"/>
          <w:color w:val="00B050"/>
          <w:sz w:val="24"/>
          <w:szCs w:val="24"/>
        </w:rPr>
        <w:t xml:space="preserve"> by being unsupplied</w:t>
      </w:r>
      <w:r>
        <w:rPr>
          <w:rFonts w:ascii="Arial" w:hAnsi="Arial" w:cs="Arial"/>
          <w:color w:val="00B050"/>
          <w:sz w:val="24"/>
          <w:szCs w:val="24"/>
        </w:rPr>
        <w:t>.</w:t>
      </w:r>
    </w:p>
    <w:p w:rsidR="005F1CFF" w:rsidRDefault="005F1CFF">
      <w:pPr>
        <w:rPr>
          <w:rFonts w:ascii="Arial" w:hAnsi="Arial" w:cs="Arial"/>
          <w:color w:val="00B050"/>
          <w:sz w:val="24"/>
          <w:szCs w:val="24"/>
        </w:rPr>
      </w:pPr>
      <w:r>
        <w:rPr>
          <w:rFonts w:ascii="Arial" w:hAnsi="Arial" w:cs="Arial"/>
          <w:color w:val="00B050"/>
          <w:sz w:val="24"/>
          <w:szCs w:val="24"/>
        </w:rPr>
        <w:lastRenderedPageBreak/>
        <w:t xml:space="preserve">    c.   Add Rule 17.36 – A country may replace one air unit per turn. It is placed in a city that generates artillery RPs.</w:t>
      </w:r>
    </w:p>
    <w:p w:rsidR="005F1CFF" w:rsidRDefault="005F1CFF">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1</w:t>
      </w:r>
      <w:r>
        <w:rPr>
          <w:rFonts w:ascii="Arial" w:hAnsi="Arial" w:cs="Arial"/>
          <w:color w:val="00B050"/>
          <w:sz w:val="24"/>
          <w:szCs w:val="24"/>
        </w:rPr>
        <w:t>. Rule 9.5 Clarification – British, British Commonwealth, and U.S. units may use the French rail capacity. Example: In one turn, the Allied player could rail (4) French units, (2) British units, and (3) U.S. units.</w:t>
      </w:r>
    </w:p>
    <w:p w:rsidR="00D83D6A" w:rsidRDefault="005F1CFF">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2</w:t>
      </w:r>
      <w:r>
        <w:rPr>
          <w:rFonts w:ascii="Arial" w:hAnsi="Arial" w:cs="Arial"/>
          <w:color w:val="00B050"/>
          <w:sz w:val="24"/>
          <w:szCs w:val="24"/>
        </w:rPr>
        <w:t xml:space="preserve">. Rule 22.41 Clarification </w:t>
      </w:r>
      <w:r w:rsidR="00501286">
        <w:rPr>
          <w:rFonts w:ascii="Arial" w:hAnsi="Arial" w:cs="Arial"/>
          <w:color w:val="00B050"/>
          <w:sz w:val="24"/>
          <w:szCs w:val="24"/>
        </w:rPr>
        <w:t>– Units in the seven German Armies on the Western Front may move in any direction</w:t>
      </w:r>
      <w:r>
        <w:rPr>
          <w:rFonts w:ascii="Arial" w:hAnsi="Arial" w:cs="Arial"/>
          <w:color w:val="00B050"/>
          <w:sz w:val="24"/>
          <w:szCs w:val="24"/>
        </w:rPr>
        <w:t xml:space="preserve"> </w:t>
      </w:r>
      <w:r w:rsidR="002D221F">
        <w:rPr>
          <w:rFonts w:ascii="Arial" w:hAnsi="Arial" w:cs="Arial"/>
          <w:color w:val="00B050"/>
          <w:sz w:val="24"/>
          <w:szCs w:val="24"/>
        </w:rPr>
        <w:t>they choose provided that they end their move no farther from the French / German or Belgian / German border.</w:t>
      </w:r>
    </w:p>
    <w:p w:rsidR="00646A02" w:rsidRDefault="00D83D6A">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3</w:t>
      </w:r>
      <w:r>
        <w:rPr>
          <w:rFonts w:ascii="Arial" w:hAnsi="Arial" w:cs="Arial"/>
          <w:color w:val="00B050"/>
          <w:sz w:val="24"/>
          <w:szCs w:val="24"/>
        </w:rPr>
        <w:t xml:space="preserve">. British JAN 18 Reinforcements Clarification – The Replace (14) 5-7-4 INF XXX </w:t>
      </w:r>
      <w:r w:rsidR="000A5B61">
        <w:rPr>
          <w:rFonts w:ascii="Arial" w:hAnsi="Arial" w:cs="Arial"/>
          <w:color w:val="00B050"/>
          <w:sz w:val="24"/>
          <w:szCs w:val="24"/>
        </w:rPr>
        <w:t xml:space="preserve">  </w:t>
      </w:r>
      <w:r>
        <w:rPr>
          <w:rFonts w:ascii="Arial" w:hAnsi="Arial" w:cs="Arial"/>
          <w:color w:val="00B050"/>
          <w:sz w:val="24"/>
          <w:szCs w:val="24"/>
        </w:rPr>
        <w:t>with (14) 4-6-4 INF XXX applies to British units.</w:t>
      </w:r>
    </w:p>
    <w:p w:rsidR="00646A02" w:rsidRDefault="00646A02">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4</w:t>
      </w:r>
      <w:r>
        <w:rPr>
          <w:rFonts w:ascii="Arial" w:hAnsi="Arial" w:cs="Arial"/>
          <w:color w:val="00B050"/>
          <w:sz w:val="24"/>
          <w:szCs w:val="24"/>
        </w:rPr>
        <w:t>. Suggested (Unofficial) House Rules –</w:t>
      </w:r>
    </w:p>
    <w:p w:rsidR="00090982" w:rsidRDefault="00646A02">
      <w:pPr>
        <w:rPr>
          <w:rFonts w:ascii="Arial" w:hAnsi="Arial" w:cs="Arial"/>
          <w:color w:val="00B050"/>
          <w:sz w:val="24"/>
          <w:szCs w:val="24"/>
        </w:rPr>
      </w:pPr>
      <w:r>
        <w:rPr>
          <w:rFonts w:ascii="Arial" w:hAnsi="Arial" w:cs="Arial"/>
          <w:color w:val="00B050"/>
          <w:sz w:val="24"/>
          <w:szCs w:val="24"/>
        </w:rPr>
        <w:t xml:space="preserve">    a.   Air units may use sea movement. They must begin</w:t>
      </w:r>
      <w:r w:rsidR="00090982">
        <w:rPr>
          <w:rFonts w:ascii="Arial" w:hAnsi="Arial" w:cs="Arial"/>
          <w:color w:val="00B050"/>
          <w:sz w:val="24"/>
          <w:szCs w:val="24"/>
        </w:rPr>
        <w:t xml:space="preserve"> their move in a port and end their move in the port of debarkation. They count as one corps for purposes of sea movement capacity. They may not support an attack on the same turn in which they sea move. </w:t>
      </w:r>
    </w:p>
    <w:p w:rsidR="00D41D36" w:rsidRPr="00D41D36" w:rsidRDefault="00090982">
      <w:pPr>
        <w:rPr>
          <w:rFonts w:ascii="Arial" w:hAnsi="Arial" w:cs="Arial"/>
          <w:color w:val="00B050"/>
          <w:sz w:val="24"/>
          <w:szCs w:val="24"/>
        </w:rPr>
      </w:pPr>
      <w:r>
        <w:rPr>
          <w:rFonts w:ascii="Arial" w:hAnsi="Arial" w:cs="Arial"/>
          <w:color w:val="00B050"/>
          <w:sz w:val="24"/>
          <w:szCs w:val="24"/>
        </w:rPr>
        <w:t xml:space="preserve">    b.   </w:t>
      </w:r>
      <w:r w:rsidR="00490D70">
        <w:rPr>
          <w:rFonts w:ascii="Arial" w:hAnsi="Arial" w:cs="Arial"/>
          <w:color w:val="00B050"/>
          <w:sz w:val="24"/>
          <w:szCs w:val="24"/>
        </w:rPr>
        <w:t>Rules 1.61 and 2.61 – Units in the German 1</w:t>
      </w:r>
      <w:r w:rsidR="00490D70" w:rsidRPr="00490D70">
        <w:rPr>
          <w:rFonts w:ascii="Arial" w:hAnsi="Arial" w:cs="Arial"/>
          <w:color w:val="00B050"/>
          <w:sz w:val="24"/>
          <w:szCs w:val="24"/>
          <w:vertAlign w:val="superscript"/>
        </w:rPr>
        <w:t>st</w:t>
      </w:r>
      <w:r w:rsidR="00490D70">
        <w:rPr>
          <w:rFonts w:ascii="Arial" w:hAnsi="Arial" w:cs="Arial"/>
          <w:color w:val="00B050"/>
          <w:sz w:val="24"/>
          <w:szCs w:val="24"/>
        </w:rPr>
        <w:t xml:space="preserve"> and 2</w:t>
      </w:r>
      <w:r w:rsidR="00490D70" w:rsidRPr="00490D70">
        <w:rPr>
          <w:rFonts w:ascii="Arial" w:hAnsi="Arial" w:cs="Arial"/>
          <w:color w:val="00B050"/>
          <w:sz w:val="24"/>
          <w:szCs w:val="24"/>
          <w:vertAlign w:val="superscript"/>
        </w:rPr>
        <w:t>nd</w:t>
      </w:r>
      <w:r w:rsidR="00490D70">
        <w:rPr>
          <w:rFonts w:ascii="Arial" w:hAnsi="Arial" w:cs="Arial"/>
          <w:color w:val="00B050"/>
          <w:sz w:val="24"/>
          <w:szCs w:val="24"/>
        </w:rPr>
        <w:t xml:space="preserve"> Armies may use their full movement factor on the August-1, 1914 turn. The clarification to Rule 22.41 above does not apply to </w:t>
      </w:r>
      <w:r w:rsidR="008D1311">
        <w:rPr>
          <w:rFonts w:ascii="Arial" w:hAnsi="Arial" w:cs="Arial"/>
          <w:color w:val="00B050"/>
          <w:sz w:val="24"/>
          <w:szCs w:val="24"/>
        </w:rPr>
        <w:t xml:space="preserve">German </w:t>
      </w:r>
      <w:r w:rsidR="00490D70">
        <w:rPr>
          <w:rFonts w:ascii="Arial" w:hAnsi="Arial" w:cs="Arial"/>
          <w:color w:val="00B050"/>
          <w:sz w:val="24"/>
          <w:szCs w:val="24"/>
        </w:rPr>
        <w:t xml:space="preserve">units moving into Belgium or the Netherlands and remaining there.  </w:t>
      </w:r>
      <w:r w:rsidR="005F1CFF">
        <w:rPr>
          <w:rFonts w:ascii="Arial" w:hAnsi="Arial" w:cs="Arial"/>
          <w:color w:val="00B050"/>
          <w:sz w:val="24"/>
          <w:szCs w:val="24"/>
        </w:rPr>
        <w:t xml:space="preserve"> </w:t>
      </w:r>
      <w:r w:rsidR="00D41D36">
        <w:rPr>
          <w:rFonts w:ascii="Arial" w:hAnsi="Arial" w:cs="Arial"/>
          <w:color w:val="00B050"/>
          <w:sz w:val="24"/>
          <w:szCs w:val="24"/>
        </w:rPr>
        <w:t xml:space="preserve"> </w:t>
      </w:r>
    </w:p>
    <w:p w:rsidR="00D41D36" w:rsidRPr="00332505" w:rsidRDefault="00D41D36">
      <w:pPr>
        <w:rPr>
          <w:rFonts w:ascii="Arial" w:hAnsi="Arial" w:cs="Arial"/>
          <w:sz w:val="24"/>
          <w:szCs w:val="24"/>
        </w:rPr>
      </w:pPr>
    </w:p>
    <w:p w:rsidR="006A4DD5" w:rsidRPr="006A4DD5" w:rsidRDefault="006A4DD5">
      <w:pPr>
        <w:rPr>
          <w:rFonts w:ascii="Arial" w:hAnsi="Arial" w:cs="Arial"/>
          <w:sz w:val="24"/>
          <w:szCs w:val="24"/>
        </w:rPr>
      </w:pPr>
    </w:p>
    <w:sectPr w:rsidR="006A4DD5" w:rsidRPr="006A4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C2DF5"/>
    <w:multiLevelType w:val="hybridMultilevel"/>
    <w:tmpl w:val="14B6FECA"/>
    <w:lvl w:ilvl="0" w:tplc="5A18D14E">
      <w:start w:val="1"/>
      <w:numFmt w:val="lowerLetter"/>
      <w:lvlText w:val="%1."/>
      <w:lvlJc w:val="left"/>
      <w:pPr>
        <w:ind w:left="624" w:hanging="360"/>
      </w:pPr>
      <w:rPr>
        <w:rFonts w:hint="default"/>
        <w:color w:val="008000"/>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D5"/>
    <w:rsid w:val="00090982"/>
    <w:rsid w:val="000A5B61"/>
    <w:rsid w:val="002D221F"/>
    <w:rsid w:val="002F6864"/>
    <w:rsid w:val="00332505"/>
    <w:rsid w:val="0041453A"/>
    <w:rsid w:val="00416497"/>
    <w:rsid w:val="00490D70"/>
    <w:rsid w:val="004F1DD7"/>
    <w:rsid w:val="00501286"/>
    <w:rsid w:val="005F1CFF"/>
    <w:rsid w:val="00646A02"/>
    <w:rsid w:val="006A4DD5"/>
    <w:rsid w:val="008D1311"/>
    <w:rsid w:val="00D41D36"/>
    <w:rsid w:val="00D83D6A"/>
    <w:rsid w:val="00E30253"/>
    <w:rsid w:val="00F3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6E45C-E1E4-4524-8E4B-A6E5CCC8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0253"/>
    <w:rPr>
      <w:b/>
      <w:bCs/>
    </w:rPr>
  </w:style>
  <w:style w:type="paragraph" w:styleId="ListParagraph">
    <w:name w:val="List Paragraph"/>
    <w:basedOn w:val="Normal"/>
    <w:uiPriority w:val="34"/>
    <w:qFormat/>
    <w:rsid w:val="00D41D36"/>
    <w:pPr>
      <w:ind w:left="720"/>
      <w:contextualSpacing/>
    </w:pPr>
  </w:style>
  <w:style w:type="paragraph" w:styleId="BalloonText">
    <w:name w:val="Balloon Text"/>
    <w:basedOn w:val="Normal"/>
    <w:link w:val="BalloonTextChar"/>
    <w:uiPriority w:val="99"/>
    <w:semiHidden/>
    <w:unhideWhenUsed/>
    <w:rsid w:val="00F34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984732">
      <w:bodyDiv w:val="1"/>
      <w:marLeft w:val="0"/>
      <w:marRight w:val="0"/>
      <w:marTop w:val="0"/>
      <w:marBottom w:val="0"/>
      <w:divBdr>
        <w:top w:val="none" w:sz="0" w:space="0" w:color="auto"/>
        <w:left w:val="none" w:sz="0" w:space="0" w:color="auto"/>
        <w:bottom w:val="none" w:sz="0" w:space="0" w:color="auto"/>
        <w:right w:val="none" w:sz="0" w:space="0" w:color="auto"/>
      </w:divBdr>
      <w:divsChild>
        <w:div w:id="92097804">
          <w:marLeft w:val="0"/>
          <w:marRight w:val="0"/>
          <w:marTop w:val="0"/>
          <w:marBottom w:val="0"/>
          <w:divBdr>
            <w:top w:val="none" w:sz="0" w:space="0" w:color="auto"/>
            <w:left w:val="none" w:sz="0" w:space="0" w:color="auto"/>
            <w:bottom w:val="none" w:sz="0" w:space="0" w:color="auto"/>
            <w:right w:val="none" w:sz="0" w:space="0" w:color="auto"/>
          </w:divBdr>
        </w:div>
        <w:div w:id="163015429">
          <w:marLeft w:val="0"/>
          <w:marRight w:val="0"/>
          <w:marTop w:val="0"/>
          <w:marBottom w:val="0"/>
          <w:divBdr>
            <w:top w:val="none" w:sz="0" w:space="0" w:color="auto"/>
            <w:left w:val="none" w:sz="0" w:space="0" w:color="auto"/>
            <w:bottom w:val="none" w:sz="0" w:space="0" w:color="auto"/>
            <w:right w:val="none" w:sz="0" w:space="0" w:color="auto"/>
          </w:divBdr>
        </w:div>
        <w:div w:id="633872178">
          <w:marLeft w:val="0"/>
          <w:marRight w:val="0"/>
          <w:marTop w:val="0"/>
          <w:marBottom w:val="0"/>
          <w:divBdr>
            <w:top w:val="none" w:sz="0" w:space="0" w:color="auto"/>
            <w:left w:val="none" w:sz="0" w:space="0" w:color="auto"/>
            <w:bottom w:val="none" w:sz="0" w:space="0" w:color="auto"/>
            <w:right w:val="none" w:sz="0" w:space="0" w:color="auto"/>
          </w:divBdr>
        </w:div>
        <w:div w:id="884218206">
          <w:marLeft w:val="0"/>
          <w:marRight w:val="0"/>
          <w:marTop w:val="0"/>
          <w:marBottom w:val="0"/>
          <w:divBdr>
            <w:top w:val="none" w:sz="0" w:space="0" w:color="auto"/>
            <w:left w:val="none" w:sz="0" w:space="0" w:color="auto"/>
            <w:bottom w:val="none" w:sz="0" w:space="0" w:color="auto"/>
            <w:right w:val="none" w:sz="0" w:space="0" w:color="auto"/>
          </w:divBdr>
        </w:div>
        <w:div w:id="925726190">
          <w:marLeft w:val="0"/>
          <w:marRight w:val="0"/>
          <w:marTop w:val="0"/>
          <w:marBottom w:val="0"/>
          <w:divBdr>
            <w:top w:val="none" w:sz="0" w:space="0" w:color="auto"/>
            <w:left w:val="none" w:sz="0" w:space="0" w:color="auto"/>
            <w:bottom w:val="none" w:sz="0" w:space="0" w:color="auto"/>
            <w:right w:val="none" w:sz="0" w:space="0" w:color="auto"/>
          </w:divBdr>
        </w:div>
        <w:div w:id="957567929">
          <w:marLeft w:val="0"/>
          <w:marRight w:val="0"/>
          <w:marTop w:val="0"/>
          <w:marBottom w:val="0"/>
          <w:divBdr>
            <w:top w:val="none" w:sz="0" w:space="0" w:color="auto"/>
            <w:left w:val="none" w:sz="0" w:space="0" w:color="auto"/>
            <w:bottom w:val="none" w:sz="0" w:space="0" w:color="auto"/>
            <w:right w:val="none" w:sz="0" w:space="0" w:color="auto"/>
          </w:divBdr>
        </w:div>
        <w:div w:id="957957127">
          <w:marLeft w:val="0"/>
          <w:marRight w:val="0"/>
          <w:marTop w:val="0"/>
          <w:marBottom w:val="0"/>
          <w:divBdr>
            <w:top w:val="none" w:sz="0" w:space="0" w:color="auto"/>
            <w:left w:val="none" w:sz="0" w:space="0" w:color="auto"/>
            <w:bottom w:val="none" w:sz="0" w:space="0" w:color="auto"/>
            <w:right w:val="none" w:sz="0" w:space="0" w:color="auto"/>
          </w:divBdr>
        </w:div>
        <w:div w:id="1189641271">
          <w:marLeft w:val="0"/>
          <w:marRight w:val="0"/>
          <w:marTop w:val="0"/>
          <w:marBottom w:val="0"/>
          <w:divBdr>
            <w:top w:val="none" w:sz="0" w:space="0" w:color="auto"/>
            <w:left w:val="none" w:sz="0" w:space="0" w:color="auto"/>
            <w:bottom w:val="none" w:sz="0" w:space="0" w:color="auto"/>
            <w:right w:val="none" w:sz="0" w:space="0" w:color="auto"/>
          </w:divBdr>
        </w:div>
        <w:div w:id="1287616739">
          <w:marLeft w:val="0"/>
          <w:marRight w:val="0"/>
          <w:marTop w:val="0"/>
          <w:marBottom w:val="0"/>
          <w:divBdr>
            <w:top w:val="none" w:sz="0" w:space="0" w:color="auto"/>
            <w:left w:val="none" w:sz="0" w:space="0" w:color="auto"/>
            <w:bottom w:val="none" w:sz="0" w:space="0" w:color="auto"/>
            <w:right w:val="none" w:sz="0" w:space="0" w:color="auto"/>
          </w:divBdr>
        </w:div>
        <w:div w:id="1562859601">
          <w:marLeft w:val="0"/>
          <w:marRight w:val="0"/>
          <w:marTop w:val="0"/>
          <w:marBottom w:val="0"/>
          <w:divBdr>
            <w:top w:val="none" w:sz="0" w:space="0" w:color="auto"/>
            <w:left w:val="none" w:sz="0" w:space="0" w:color="auto"/>
            <w:bottom w:val="none" w:sz="0" w:space="0" w:color="auto"/>
            <w:right w:val="none" w:sz="0" w:space="0" w:color="auto"/>
          </w:divBdr>
        </w:div>
        <w:div w:id="1591038121">
          <w:marLeft w:val="0"/>
          <w:marRight w:val="0"/>
          <w:marTop w:val="0"/>
          <w:marBottom w:val="0"/>
          <w:divBdr>
            <w:top w:val="none" w:sz="0" w:space="0" w:color="auto"/>
            <w:left w:val="none" w:sz="0" w:space="0" w:color="auto"/>
            <w:bottom w:val="none" w:sz="0" w:space="0" w:color="auto"/>
            <w:right w:val="none" w:sz="0" w:space="0" w:color="auto"/>
          </w:divBdr>
        </w:div>
        <w:div w:id="1766799229">
          <w:marLeft w:val="0"/>
          <w:marRight w:val="0"/>
          <w:marTop w:val="0"/>
          <w:marBottom w:val="0"/>
          <w:divBdr>
            <w:top w:val="none" w:sz="0" w:space="0" w:color="auto"/>
            <w:left w:val="none" w:sz="0" w:space="0" w:color="auto"/>
            <w:bottom w:val="none" w:sz="0" w:space="0" w:color="auto"/>
            <w:right w:val="none" w:sz="0" w:space="0" w:color="auto"/>
          </w:divBdr>
        </w:div>
        <w:div w:id="1861242086">
          <w:marLeft w:val="0"/>
          <w:marRight w:val="0"/>
          <w:marTop w:val="0"/>
          <w:marBottom w:val="0"/>
          <w:divBdr>
            <w:top w:val="none" w:sz="0" w:space="0" w:color="auto"/>
            <w:left w:val="none" w:sz="0" w:space="0" w:color="auto"/>
            <w:bottom w:val="none" w:sz="0" w:space="0" w:color="auto"/>
            <w:right w:val="none" w:sz="0" w:space="0" w:color="auto"/>
          </w:divBdr>
        </w:div>
        <w:div w:id="1943606237">
          <w:marLeft w:val="0"/>
          <w:marRight w:val="0"/>
          <w:marTop w:val="0"/>
          <w:marBottom w:val="0"/>
          <w:divBdr>
            <w:top w:val="none" w:sz="0" w:space="0" w:color="auto"/>
            <w:left w:val="none" w:sz="0" w:space="0" w:color="auto"/>
            <w:bottom w:val="none" w:sz="0" w:space="0" w:color="auto"/>
            <w:right w:val="none" w:sz="0" w:space="0" w:color="auto"/>
          </w:divBdr>
        </w:div>
        <w:div w:id="205403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Beyma</dc:creator>
  <cp:keywords/>
  <dc:description/>
  <cp:lastModifiedBy>Robert Beyma</cp:lastModifiedBy>
  <cp:revision>10</cp:revision>
  <cp:lastPrinted>2018-05-27T01:16:00Z</cp:lastPrinted>
  <dcterms:created xsi:type="dcterms:W3CDTF">2018-05-26T02:58:00Z</dcterms:created>
  <dcterms:modified xsi:type="dcterms:W3CDTF">2018-05-27T16:20:00Z</dcterms:modified>
</cp:coreProperties>
</file>